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96E" w:rsidRPr="00CE6DE4" w:rsidRDefault="0051596E" w:rsidP="00081C42">
      <w:pPr>
        <w:jc w:val="both"/>
      </w:pPr>
      <w:bookmarkStart w:id="0" w:name="_GoBack"/>
      <w:bookmarkEnd w:id="0"/>
      <w:r w:rsidRPr="00CE6DE4">
        <w:rPr>
          <w:noProof/>
          <w:lang w:eastAsia="it-IT"/>
        </w:rPr>
        <w:drawing>
          <wp:inline distT="0" distB="0" distL="0" distR="0">
            <wp:extent cx="952500" cy="795248"/>
            <wp:effectExtent l="0" t="0" r="0" b="5080"/>
            <wp:docPr id="1" name="Immagine 1" descr="HD_10.7:LAVORI IN CORSO:IFEL:LOGOI_IFEL_STACCATO:logo_IFEL_Fonda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_10.7:LAVORI IN CORSO:IFEL:LOGOI_IFEL_STACCATO:logo_IFEL_Fondazion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795248"/>
                    </a:xfrm>
                    <a:prstGeom prst="rect">
                      <a:avLst/>
                    </a:prstGeom>
                    <a:noFill/>
                    <a:ln>
                      <a:noFill/>
                    </a:ln>
                  </pic:spPr>
                </pic:pic>
              </a:graphicData>
            </a:graphic>
          </wp:inline>
        </w:drawing>
      </w:r>
    </w:p>
    <w:p w:rsidR="00484754" w:rsidRPr="00CE6DE4" w:rsidRDefault="00484754" w:rsidP="00484754">
      <w:pPr>
        <w:pStyle w:val="Titolo1"/>
        <w:rPr>
          <w:sz w:val="24"/>
        </w:rPr>
      </w:pPr>
      <w:r w:rsidRPr="00CE6DE4">
        <w:rPr>
          <w:sz w:val="24"/>
        </w:rPr>
        <w:t xml:space="preserve">Roma, </w:t>
      </w:r>
      <w:r w:rsidR="00F53F01">
        <w:rPr>
          <w:sz w:val="24"/>
        </w:rPr>
        <w:t>10</w:t>
      </w:r>
      <w:r w:rsidRPr="00CE6DE4">
        <w:rPr>
          <w:sz w:val="24"/>
        </w:rPr>
        <w:t xml:space="preserve"> maggio 2013</w:t>
      </w:r>
    </w:p>
    <w:p w:rsidR="0051596E" w:rsidRPr="00CE6DE4" w:rsidRDefault="00484754" w:rsidP="006B7126">
      <w:pPr>
        <w:pStyle w:val="Titolo1"/>
        <w:jc w:val="center"/>
        <w:rPr>
          <w:sz w:val="24"/>
        </w:rPr>
      </w:pPr>
      <w:r w:rsidRPr="00CE6DE4">
        <w:rPr>
          <w:sz w:val="24"/>
        </w:rPr>
        <w:t xml:space="preserve">Nota di approfondimento sulle innovazioni normative in materia di IMU e Tares anche con riferimento agli orientamenti espressi dal </w:t>
      </w:r>
      <w:r w:rsidR="00F53F01">
        <w:rPr>
          <w:sz w:val="24"/>
        </w:rPr>
        <w:t>Mef</w:t>
      </w:r>
      <w:r w:rsidRPr="00CE6DE4">
        <w:rPr>
          <w:sz w:val="24"/>
        </w:rPr>
        <w:t xml:space="preserve">  </w:t>
      </w:r>
      <w:r w:rsidRPr="00CE6DE4">
        <w:rPr>
          <w:sz w:val="24"/>
        </w:rPr>
        <w:br/>
        <w:t>(</w:t>
      </w:r>
      <w:r w:rsidR="0051596E" w:rsidRPr="00CE6DE4">
        <w:rPr>
          <w:sz w:val="24"/>
        </w:rPr>
        <w:t>Risoluzione n.5/DF del 28 marzo 2013</w:t>
      </w:r>
      <w:r w:rsidR="002E4C31" w:rsidRPr="00CE6DE4">
        <w:rPr>
          <w:sz w:val="24"/>
          <w:szCs w:val="24"/>
        </w:rPr>
        <w:t xml:space="preserve"> e Circolare n.1/DF del 29 aprile 2013</w:t>
      </w:r>
      <w:r w:rsidRPr="00CE6DE4">
        <w:rPr>
          <w:sz w:val="24"/>
          <w:szCs w:val="24"/>
        </w:rPr>
        <w:t>)</w:t>
      </w:r>
    </w:p>
    <w:p w:rsidR="006B7126" w:rsidRPr="00CE6DE4" w:rsidRDefault="006B7126" w:rsidP="00CE6DE4">
      <w:pPr>
        <w:spacing w:after="120"/>
      </w:pPr>
    </w:p>
    <w:p w:rsidR="004D5A42" w:rsidRPr="00CE6DE4" w:rsidRDefault="007E4163" w:rsidP="00CE6DE4">
      <w:pPr>
        <w:spacing w:after="120"/>
        <w:jc w:val="both"/>
        <w:rPr>
          <w:rFonts w:ascii="Book Antiqua" w:hAnsi="Book Antiqua"/>
        </w:rPr>
      </w:pPr>
      <w:r w:rsidRPr="00CE6DE4">
        <w:rPr>
          <w:rFonts w:ascii="Book Antiqua" w:hAnsi="Book Antiqua"/>
        </w:rPr>
        <w:t>La</w:t>
      </w:r>
      <w:r w:rsidR="002E4C31" w:rsidRPr="00CE6DE4">
        <w:rPr>
          <w:rFonts w:ascii="Book Antiqua" w:hAnsi="Book Antiqua"/>
        </w:rPr>
        <w:t xml:space="preserve"> presente nota </w:t>
      </w:r>
      <w:r w:rsidR="00E721E9" w:rsidRPr="00CE6DE4">
        <w:rPr>
          <w:rFonts w:ascii="Book Antiqua" w:hAnsi="Book Antiqua"/>
        </w:rPr>
        <w:t>fornisce un commento suddiviso per argomento, sui temi dell’</w:t>
      </w:r>
      <w:r w:rsidR="00FD2122" w:rsidRPr="00CE6DE4">
        <w:rPr>
          <w:rFonts w:ascii="Book Antiqua" w:hAnsi="Book Antiqua"/>
        </w:rPr>
        <w:t xml:space="preserve">IMU e del Tares, oggetto delle recenti posizioni del </w:t>
      </w:r>
      <w:r w:rsidR="00F53F01">
        <w:rPr>
          <w:rFonts w:ascii="Book Antiqua" w:hAnsi="Book Antiqua"/>
        </w:rPr>
        <w:t>Mef</w:t>
      </w:r>
      <w:r w:rsidR="00FD2122" w:rsidRPr="00CE6DE4">
        <w:rPr>
          <w:rFonts w:ascii="Book Antiqua" w:hAnsi="Book Antiqua"/>
        </w:rPr>
        <w:t xml:space="preserve"> </w:t>
      </w:r>
      <w:r w:rsidR="00F53F01">
        <w:rPr>
          <w:rFonts w:ascii="Book Antiqua" w:hAnsi="Book Antiqua"/>
        </w:rPr>
        <w:t xml:space="preserve">riportate </w:t>
      </w:r>
      <w:r w:rsidR="004D5A42" w:rsidRPr="00CE6DE4">
        <w:rPr>
          <w:rFonts w:ascii="Book Antiqua" w:hAnsi="Book Antiqua"/>
        </w:rPr>
        <w:t>n</w:t>
      </w:r>
      <w:r w:rsidR="00FD2122" w:rsidRPr="00CE6DE4">
        <w:rPr>
          <w:rFonts w:ascii="Book Antiqua" w:hAnsi="Book Antiqua"/>
        </w:rPr>
        <w:t>ella</w:t>
      </w:r>
      <w:r w:rsidRPr="00CE6DE4">
        <w:rPr>
          <w:rFonts w:ascii="Book Antiqua" w:hAnsi="Book Antiqua"/>
        </w:rPr>
        <w:t xml:space="preserve"> Risoluzione n.5/DF del 28 marzo 2013 </w:t>
      </w:r>
      <w:r w:rsidR="00FD2122" w:rsidRPr="00CE6DE4">
        <w:rPr>
          <w:rFonts w:ascii="Book Antiqua" w:hAnsi="Book Antiqua"/>
        </w:rPr>
        <w:t xml:space="preserve">e nella Circolare n.1/DF del 29 aprile 2013 </w:t>
      </w:r>
      <w:r w:rsidR="00BA1301" w:rsidRPr="00CE6DE4">
        <w:rPr>
          <w:rFonts w:ascii="Book Antiqua" w:hAnsi="Book Antiqua"/>
        </w:rPr>
        <w:t>(em</w:t>
      </w:r>
      <w:r w:rsidR="006B7126" w:rsidRPr="00CE6DE4">
        <w:rPr>
          <w:rFonts w:ascii="Book Antiqua" w:hAnsi="Book Antiqua"/>
        </w:rPr>
        <w:t>a</w:t>
      </w:r>
      <w:r w:rsidR="00BA1301" w:rsidRPr="00CE6DE4">
        <w:rPr>
          <w:rFonts w:ascii="Book Antiqua" w:hAnsi="Book Antiqua"/>
        </w:rPr>
        <w:t>nata a seguito del decreto legge n.35 dell’8 aprile 2013)</w:t>
      </w:r>
      <w:r w:rsidR="00F53F01">
        <w:rPr>
          <w:rFonts w:ascii="Book Antiqua" w:hAnsi="Book Antiqua"/>
        </w:rPr>
        <w:t>,</w:t>
      </w:r>
      <w:r w:rsidR="00BA1301" w:rsidRPr="00CE6DE4">
        <w:rPr>
          <w:rFonts w:ascii="Book Antiqua" w:hAnsi="Book Antiqua"/>
        </w:rPr>
        <w:t xml:space="preserve"> </w:t>
      </w:r>
      <w:r w:rsidR="00FD2122" w:rsidRPr="00CE6DE4">
        <w:rPr>
          <w:rFonts w:ascii="Book Antiqua" w:hAnsi="Book Antiqua"/>
        </w:rPr>
        <w:t>entrambe</w:t>
      </w:r>
      <w:r w:rsidRPr="00CE6DE4">
        <w:rPr>
          <w:rFonts w:ascii="Book Antiqua" w:hAnsi="Book Antiqua"/>
        </w:rPr>
        <w:t xml:space="preserve"> </w:t>
      </w:r>
      <w:r w:rsidR="004D5A42" w:rsidRPr="00CE6DE4">
        <w:rPr>
          <w:rFonts w:ascii="Book Antiqua" w:hAnsi="Book Antiqua"/>
        </w:rPr>
        <w:t>riportate in allegato</w:t>
      </w:r>
      <w:r w:rsidR="00BA1301" w:rsidRPr="00CE6DE4">
        <w:rPr>
          <w:rFonts w:ascii="Book Antiqua" w:hAnsi="Book Antiqua"/>
        </w:rPr>
        <w:t>.</w:t>
      </w:r>
    </w:p>
    <w:p w:rsidR="004D5A42" w:rsidRPr="00F53F01" w:rsidRDefault="004D5A42" w:rsidP="00CE6DE4">
      <w:pPr>
        <w:pStyle w:val="Titolo2"/>
        <w:spacing w:before="360"/>
        <w:rPr>
          <w:smallCaps/>
          <w:sz w:val="24"/>
          <w:szCs w:val="22"/>
        </w:rPr>
      </w:pPr>
      <w:r w:rsidRPr="00F53F01">
        <w:rPr>
          <w:smallCaps/>
          <w:sz w:val="24"/>
          <w:szCs w:val="22"/>
        </w:rPr>
        <w:t>IMU</w:t>
      </w:r>
    </w:p>
    <w:p w:rsidR="00F456DF" w:rsidRPr="00CE6DE4" w:rsidRDefault="004D5A42" w:rsidP="00CE6DE4">
      <w:pPr>
        <w:spacing w:after="120"/>
        <w:jc w:val="both"/>
        <w:rPr>
          <w:rFonts w:ascii="Book Antiqua" w:hAnsi="Book Antiqua"/>
        </w:rPr>
      </w:pPr>
      <w:r w:rsidRPr="00CE6DE4">
        <w:rPr>
          <w:rFonts w:ascii="Book Antiqua" w:hAnsi="Book Antiqua"/>
        </w:rPr>
        <w:t xml:space="preserve">La Risoluzione n.5/DF, </w:t>
      </w:r>
      <w:r w:rsidR="007E4163" w:rsidRPr="00CE6DE4">
        <w:rPr>
          <w:rFonts w:ascii="Book Antiqua" w:hAnsi="Book Antiqua"/>
        </w:rPr>
        <w:t>contiene una serie di ris</w:t>
      </w:r>
      <w:r w:rsidRPr="00CE6DE4">
        <w:rPr>
          <w:rFonts w:ascii="Book Antiqua" w:hAnsi="Book Antiqua"/>
        </w:rPr>
        <w:t xml:space="preserve">poste del </w:t>
      </w:r>
      <w:r w:rsidR="00F53F01">
        <w:rPr>
          <w:rFonts w:ascii="Book Antiqua" w:hAnsi="Book Antiqua"/>
        </w:rPr>
        <w:t>Mef</w:t>
      </w:r>
      <w:r w:rsidRPr="00CE6DE4">
        <w:rPr>
          <w:rFonts w:ascii="Book Antiqua" w:hAnsi="Book Antiqua"/>
        </w:rPr>
        <w:t xml:space="preserve"> a quesiti</w:t>
      </w:r>
      <w:r w:rsidR="007E4163" w:rsidRPr="00CE6DE4">
        <w:rPr>
          <w:rFonts w:ascii="Book Antiqua" w:hAnsi="Book Antiqua"/>
        </w:rPr>
        <w:t xml:space="preserve"> in materia di</w:t>
      </w:r>
      <w:r w:rsidR="00F456DF" w:rsidRPr="00CE6DE4">
        <w:rPr>
          <w:rFonts w:ascii="Book Antiqua" w:hAnsi="Book Antiqua"/>
        </w:rPr>
        <w:t>:</w:t>
      </w:r>
    </w:p>
    <w:p w:rsidR="00F456DF" w:rsidRPr="00CE6DE4" w:rsidRDefault="00FD33FE" w:rsidP="00CE6DE4">
      <w:pPr>
        <w:pStyle w:val="Paragrafoelenco"/>
        <w:numPr>
          <w:ilvl w:val="0"/>
          <w:numId w:val="1"/>
        </w:numPr>
        <w:spacing w:after="120"/>
        <w:jc w:val="both"/>
        <w:rPr>
          <w:rFonts w:ascii="Book Antiqua" w:hAnsi="Book Antiqua"/>
        </w:rPr>
      </w:pPr>
      <w:r w:rsidRPr="00CE6DE4">
        <w:rPr>
          <w:rFonts w:ascii="Book Antiqua" w:hAnsi="Book Antiqua"/>
        </w:rPr>
        <w:t>n</w:t>
      </w:r>
      <w:r w:rsidR="00F456DF" w:rsidRPr="00CE6DE4">
        <w:rPr>
          <w:rFonts w:ascii="Book Antiqua" w:hAnsi="Book Antiqua"/>
        </w:rPr>
        <w:t xml:space="preserve">uova ripartizione </w:t>
      </w:r>
      <w:r w:rsidR="002A641C" w:rsidRPr="00CE6DE4">
        <w:rPr>
          <w:rFonts w:ascii="Book Antiqua" w:hAnsi="Book Antiqua"/>
        </w:rPr>
        <w:t>dell’</w:t>
      </w:r>
      <w:r w:rsidR="00F456DF" w:rsidRPr="00CE6DE4">
        <w:rPr>
          <w:rFonts w:ascii="Book Antiqua" w:hAnsi="Book Antiqua"/>
        </w:rPr>
        <w:t xml:space="preserve">IMU tra </w:t>
      </w:r>
      <w:r w:rsidR="00863E87" w:rsidRPr="00CE6DE4">
        <w:rPr>
          <w:rFonts w:ascii="Book Antiqua" w:hAnsi="Book Antiqua"/>
        </w:rPr>
        <w:t xml:space="preserve">Comuni e </w:t>
      </w:r>
      <w:r w:rsidR="00F456DF" w:rsidRPr="00CE6DE4">
        <w:rPr>
          <w:rFonts w:ascii="Book Antiqua" w:hAnsi="Book Antiqua"/>
        </w:rPr>
        <w:t xml:space="preserve">Stato </w:t>
      </w:r>
      <w:r w:rsidR="00863E87" w:rsidRPr="00CE6DE4">
        <w:rPr>
          <w:rFonts w:ascii="Book Antiqua" w:hAnsi="Book Antiqua"/>
        </w:rPr>
        <w:t xml:space="preserve">con l’attribuzione </w:t>
      </w:r>
      <w:r w:rsidR="005F320D" w:rsidRPr="00CE6DE4">
        <w:rPr>
          <w:rFonts w:ascii="Book Antiqua" w:hAnsi="Book Antiqua"/>
        </w:rPr>
        <w:t xml:space="preserve">ai Comuni di tutto il gettito “Altri immobili” e terreni, ad eccezione del </w:t>
      </w:r>
      <w:r w:rsidR="002A641C" w:rsidRPr="00CE6DE4">
        <w:rPr>
          <w:rFonts w:ascii="Book Antiqua" w:hAnsi="Book Antiqua"/>
        </w:rPr>
        <w:t xml:space="preserve">gettito </w:t>
      </w:r>
      <w:r w:rsidR="00863E87" w:rsidRPr="00CE6DE4">
        <w:rPr>
          <w:rFonts w:ascii="Book Antiqua" w:hAnsi="Book Antiqua"/>
        </w:rPr>
        <w:t>derivante dai fabbricati classificati nella categoria catastale “D”</w:t>
      </w:r>
      <w:r w:rsidR="005F320D" w:rsidRPr="00CE6DE4">
        <w:rPr>
          <w:rFonts w:ascii="Book Antiqua" w:hAnsi="Book Antiqua"/>
        </w:rPr>
        <w:t>, riservato interamente allo Stato</w:t>
      </w:r>
      <w:r w:rsidR="00863E87" w:rsidRPr="00CE6DE4">
        <w:rPr>
          <w:rFonts w:ascii="Book Antiqua" w:hAnsi="Book Antiqua"/>
        </w:rPr>
        <w:t>;</w:t>
      </w:r>
    </w:p>
    <w:p w:rsidR="00BA1301" w:rsidRPr="00CE6DE4" w:rsidRDefault="00FD33FE" w:rsidP="00CE6DE4">
      <w:pPr>
        <w:pStyle w:val="Paragrafoelenco"/>
        <w:numPr>
          <w:ilvl w:val="0"/>
          <w:numId w:val="1"/>
        </w:numPr>
        <w:spacing w:after="120"/>
        <w:jc w:val="both"/>
        <w:rPr>
          <w:rFonts w:ascii="Book Antiqua" w:hAnsi="Book Antiqua"/>
        </w:rPr>
      </w:pPr>
      <w:r w:rsidRPr="00CE6DE4">
        <w:rPr>
          <w:rFonts w:ascii="Book Antiqua" w:hAnsi="Book Antiqua"/>
        </w:rPr>
        <w:t>a</w:t>
      </w:r>
      <w:r w:rsidR="007E4163" w:rsidRPr="00CE6DE4">
        <w:rPr>
          <w:rFonts w:ascii="Book Antiqua" w:hAnsi="Book Antiqua"/>
        </w:rPr>
        <w:t>ssegnazione della casa coniugale.</w:t>
      </w:r>
      <w:r w:rsidR="00BA1301" w:rsidRPr="00CE6DE4">
        <w:rPr>
          <w:rFonts w:ascii="Book Antiqua" w:hAnsi="Book Antiqua"/>
        </w:rPr>
        <w:t xml:space="preserve"> </w:t>
      </w:r>
    </w:p>
    <w:p w:rsidR="00BA1301" w:rsidRPr="00CE6DE4" w:rsidRDefault="00BA1301" w:rsidP="00CE6DE4">
      <w:pPr>
        <w:spacing w:after="120"/>
        <w:jc w:val="both"/>
        <w:rPr>
          <w:rFonts w:ascii="Book Antiqua" w:hAnsi="Book Antiqua"/>
        </w:rPr>
      </w:pPr>
      <w:r w:rsidRPr="00CE6DE4">
        <w:rPr>
          <w:rFonts w:ascii="Book Antiqua" w:hAnsi="Book Antiqua"/>
        </w:rPr>
        <w:t>Sul tema della pubblicazione sul Portale del federalismo fiscale delle deliberazioni concernenti le aliquote e le detrazioni</w:t>
      </w:r>
      <w:r w:rsidR="00687C9E" w:rsidRPr="00CE6DE4">
        <w:rPr>
          <w:rFonts w:ascii="Book Antiqua" w:hAnsi="Book Antiqua"/>
        </w:rPr>
        <w:t xml:space="preserve">, è recentemente intervenuta la Circolare n.1/DF che </w:t>
      </w:r>
      <w:r w:rsidR="006B7126" w:rsidRPr="00CE6DE4">
        <w:rPr>
          <w:rFonts w:ascii="Book Antiqua" w:hAnsi="Book Antiqua"/>
        </w:rPr>
        <w:t>ha provveduto ad aggiornare i contenuti della Risoluzione n.5 con le nuove disposizioni contenute nel citato decreto legge n.35.</w:t>
      </w:r>
    </w:p>
    <w:p w:rsidR="00863E87" w:rsidRPr="00CE6DE4" w:rsidRDefault="002A641C" w:rsidP="00CE6DE4">
      <w:pPr>
        <w:pStyle w:val="Titolo3"/>
        <w:spacing w:before="0" w:after="120"/>
        <w:rPr>
          <w:i/>
        </w:rPr>
      </w:pPr>
      <w:r w:rsidRPr="00CE6DE4">
        <w:rPr>
          <w:i/>
        </w:rPr>
        <w:t>R</w:t>
      </w:r>
      <w:r w:rsidR="00863E87" w:rsidRPr="00CE6DE4">
        <w:rPr>
          <w:i/>
        </w:rPr>
        <w:t>iserva allo Stato del gettito derivante dai fabbricati “D” con particolare riferimento ai “D10”</w:t>
      </w:r>
    </w:p>
    <w:p w:rsidR="007E4163" w:rsidRPr="00CE6DE4" w:rsidRDefault="007E4163" w:rsidP="00CE6DE4">
      <w:pPr>
        <w:spacing w:after="120"/>
        <w:jc w:val="both"/>
        <w:rPr>
          <w:rFonts w:ascii="Book Antiqua" w:hAnsi="Book Antiqua"/>
        </w:rPr>
      </w:pPr>
      <w:r w:rsidRPr="00CE6DE4">
        <w:rPr>
          <w:rFonts w:ascii="Book Antiqua" w:hAnsi="Book Antiqua"/>
        </w:rPr>
        <w:t>Relativamente alla</w:t>
      </w:r>
      <w:r w:rsidR="00BD7AF0" w:rsidRPr="00CE6DE4">
        <w:rPr>
          <w:rFonts w:ascii="Book Antiqua" w:hAnsi="Book Antiqua"/>
        </w:rPr>
        <w:t xml:space="preserve"> modifica dell’assetto dell’IMU ed in particolare dell’attribuzione allo Stato di tutto il gettito derivante dagli immobili “D”, il testo della Risoluzione </w:t>
      </w:r>
      <w:r w:rsidRPr="00CE6DE4">
        <w:rPr>
          <w:rFonts w:ascii="Book Antiqua" w:hAnsi="Book Antiqua"/>
        </w:rPr>
        <w:t xml:space="preserve"> </w:t>
      </w:r>
      <w:r w:rsidR="007A4ADC" w:rsidRPr="00CE6DE4">
        <w:rPr>
          <w:rFonts w:ascii="Book Antiqua" w:hAnsi="Book Antiqua"/>
        </w:rPr>
        <w:t xml:space="preserve">chiarisce </w:t>
      </w:r>
      <w:r w:rsidR="00BD7AF0" w:rsidRPr="00CE6DE4">
        <w:rPr>
          <w:rFonts w:ascii="Book Antiqua" w:hAnsi="Book Antiqua"/>
        </w:rPr>
        <w:t xml:space="preserve">che i Comuni potranno intervenire solo aumentando l’aliquota di base sino a 0,3 punti percentuali </w:t>
      </w:r>
      <w:r w:rsidR="0062344D" w:rsidRPr="00CE6DE4">
        <w:rPr>
          <w:rFonts w:ascii="Book Antiqua" w:hAnsi="Book Antiqua"/>
        </w:rPr>
        <w:t>riservandosene</w:t>
      </w:r>
      <w:r w:rsidR="00BD7AF0" w:rsidRPr="00CE6DE4">
        <w:rPr>
          <w:rFonts w:ascii="Book Antiqua" w:hAnsi="Book Antiqua"/>
        </w:rPr>
        <w:t xml:space="preserve"> il </w:t>
      </w:r>
      <w:r w:rsidR="0062344D" w:rsidRPr="00CE6DE4">
        <w:rPr>
          <w:rFonts w:ascii="Book Antiqua" w:hAnsi="Book Antiqua"/>
        </w:rPr>
        <w:t xml:space="preserve">corrispondente </w:t>
      </w:r>
      <w:r w:rsidR="00BD7AF0" w:rsidRPr="00CE6DE4">
        <w:rPr>
          <w:rFonts w:ascii="Book Antiqua" w:hAnsi="Book Antiqua"/>
        </w:rPr>
        <w:t>maggior gettito</w:t>
      </w:r>
      <w:r w:rsidR="00A31F3A" w:rsidRPr="00CE6DE4">
        <w:rPr>
          <w:rFonts w:ascii="Book Antiqua" w:hAnsi="Book Antiqua"/>
        </w:rPr>
        <w:t xml:space="preserve">, mentre si deve ritenere </w:t>
      </w:r>
      <w:r w:rsidR="00081C42" w:rsidRPr="00CE6DE4">
        <w:rPr>
          <w:rFonts w:ascii="Book Antiqua" w:hAnsi="Book Antiqua"/>
        </w:rPr>
        <w:t xml:space="preserve">generalmente </w:t>
      </w:r>
      <w:r w:rsidR="00A31F3A" w:rsidRPr="00CE6DE4">
        <w:rPr>
          <w:rFonts w:ascii="Book Antiqua" w:hAnsi="Book Antiqua"/>
        </w:rPr>
        <w:t>esclusa</w:t>
      </w:r>
      <w:r w:rsidR="00DB01D7" w:rsidRPr="00CE6DE4">
        <w:rPr>
          <w:rFonts w:ascii="Book Antiqua" w:hAnsi="Book Antiqua"/>
        </w:rPr>
        <w:t xml:space="preserve">, </w:t>
      </w:r>
      <w:r w:rsidR="005F320D" w:rsidRPr="00CE6DE4">
        <w:rPr>
          <w:rFonts w:ascii="Book Antiqua" w:hAnsi="Book Antiqua"/>
        </w:rPr>
        <w:t xml:space="preserve">con esclusivo riferimento </w:t>
      </w:r>
      <w:r w:rsidR="00DB01D7" w:rsidRPr="00CE6DE4">
        <w:rPr>
          <w:rFonts w:ascii="Book Antiqua" w:hAnsi="Book Antiqua"/>
        </w:rPr>
        <w:t xml:space="preserve">agli immobili “D”, </w:t>
      </w:r>
      <w:r w:rsidR="00A31F3A" w:rsidRPr="00CE6DE4">
        <w:rPr>
          <w:rFonts w:ascii="Book Antiqua" w:hAnsi="Book Antiqua"/>
        </w:rPr>
        <w:t xml:space="preserve">la facoltà </w:t>
      </w:r>
      <w:r w:rsidR="00081C42" w:rsidRPr="00CE6DE4">
        <w:rPr>
          <w:rFonts w:ascii="Book Antiqua" w:hAnsi="Book Antiqua"/>
        </w:rPr>
        <w:t>di diminuire l’ali</w:t>
      </w:r>
      <w:r w:rsidR="001F49B1" w:rsidRPr="00CE6DE4">
        <w:rPr>
          <w:rFonts w:ascii="Book Antiqua" w:hAnsi="Book Antiqua"/>
        </w:rPr>
        <w:t>quota di base, anche in relazione alle agevolazioni di legge di cui all’art.13, commi 9 e 9 bis del dl 201/2011 (immobili non produttivi di reddito fondiario, immobili posseduti da soggetti Ir</w:t>
      </w:r>
      <w:r w:rsidR="005F320D" w:rsidRPr="00CE6DE4">
        <w:rPr>
          <w:rFonts w:ascii="Book Antiqua" w:hAnsi="Book Antiqua"/>
        </w:rPr>
        <w:t>es, immobili locati ed immobili-</w:t>
      </w:r>
      <w:r w:rsidR="001F49B1" w:rsidRPr="00CE6DE4">
        <w:rPr>
          <w:rFonts w:ascii="Book Antiqua" w:hAnsi="Book Antiqua"/>
        </w:rPr>
        <w:t>merce).</w:t>
      </w:r>
    </w:p>
    <w:p w:rsidR="0062344D" w:rsidRPr="00CE6DE4" w:rsidRDefault="0062344D" w:rsidP="00CE6DE4">
      <w:pPr>
        <w:spacing w:after="120"/>
        <w:jc w:val="both"/>
        <w:rPr>
          <w:rFonts w:ascii="Book Antiqua" w:hAnsi="Book Antiqua"/>
        </w:rPr>
      </w:pPr>
      <w:r w:rsidRPr="00CE6DE4">
        <w:rPr>
          <w:rFonts w:ascii="Book Antiqua" w:hAnsi="Book Antiqua"/>
        </w:rPr>
        <w:t xml:space="preserve">Pertanto, secondo le indicazioni del Mef, le deliberazioni concernenti le aliquote ed i regolamenti approvati dai Comuni nel corso del 2012 </w:t>
      </w:r>
      <w:r w:rsidR="00F53F01">
        <w:rPr>
          <w:rFonts w:ascii="Book Antiqua" w:hAnsi="Book Antiqua"/>
        </w:rPr>
        <w:t xml:space="preserve">o variati per il 2013 </w:t>
      </w:r>
      <w:r w:rsidRPr="00CE6DE4">
        <w:rPr>
          <w:rFonts w:ascii="Book Antiqua" w:hAnsi="Book Antiqua"/>
        </w:rPr>
        <w:t>non saranno applicabili per la parte che stabilisce un’aliquota inferiore a quella standard dello 0,76 per cento con riferimento agli immobili classificati in qualsiasi categoria del gruppo catastale D.</w:t>
      </w:r>
    </w:p>
    <w:p w:rsidR="009A3594" w:rsidRPr="00CE6DE4" w:rsidRDefault="001F49B1" w:rsidP="00CE6DE4">
      <w:pPr>
        <w:spacing w:after="120"/>
        <w:jc w:val="both"/>
        <w:rPr>
          <w:rFonts w:ascii="Book Antiqua" w:hAnsi="Book Antiqua"/>
        </w:rPr>
      </w:pPr>
      <w:r w:rsidRPr="00CE6DE4">
        <w:rPr>
          <w:rFonts w:ascii="Book Antiqua" w:hAnsi="Book Antiqua"/>
        </w:rPr>
        <w:lastRenderedPageBreak/>
        <w:t>Per quanto riguarda i fabbricati rurali strumentali all’attività agricola</w:t>
      </w:r>
      <w:r w:rsidR="003A6B4D" w:rsidRPr="00CE6DE4">
        <w:rPr>
          <w:rStyle w:val="Rimandonotaapidipagina"/>
          <w:rFonts w:ascii="Book Antiqua" w:hAnsi="Book Antiqua"/>
        </w:rPr>
        <w:footnoteReference w:id="1"/>
      </w:r>
      <w:r w:rsidRPr="00CE6DE4">
        <w:rPr>
          <w:rFonts w:ascii="Book Antiqua" w:hAnsi="Book Antiqua"/>
        </w:rPr>
        <w:t xml:space="preserve"> classificati </w:t>
      </w:r>
      <w:r w:rsidR="005F320D" w:rsidRPr="00CE6DE4">
        <w:rPr>
          <w:rFonts w:ascii="Book Antiqua" w:hAnsi="Book Antiqua"/>
        </w:rPr>
        <w:t xml:space="preserve">nella categoria </w:t>
      </w:r>
      <w:r w:rsidRPr="00CE6DE4">
        <w:rPr>
          <w:rFonts w:ascii="Book Antiqua" w:hAnsi="Book Antiqua"/>
        </w:rPr>
        <w:t>“D10”,</w:t>
      </w:r>
      <w:r w:rsidR="00730E42" w:rsidRPr="00CE6DE4">
        <w:rPr>
          <w:rFonts w:ascii="Book Antiqua" w:hAnsi="Book Antiqua"/>
        </w:rPr>
        <w:t xml:space="preserve"> secondo il </w:t>
      </w:r>
      <w:r w:rsidR="00F53F01">
        <w:rPr>
          <w:rFonts w:ascii="Book Antiqua" w:hAnsi="Book Antiqua"/>
        </w:rPr>
        <w:t>Mef</w:t>
      </w:r>
      <w:r w:rsidRPr="00CE6DE4">
        <w:rPr>
          <w:rFonts w:ascii="Book Antiqua" w:hAnsi="Book Antiqua"/>
        </w:rPr>
        <w:t xml:space="preserve"> </w:t>
      </w:r>
      <w:r w:rsidR="005F320D" w:rsidRPr="00CE6DE4">
        <w:rPr>
          <w:rFonts w:ascii="Book Antiqua" w:hAnsi="Book Antiqua"/>
        </w:rPr>
        <w:t xml:space="preserve">la </w:t>
      </w:r>
      <w:r w:rsidRPr="00CE6DE4">
        <w:rPr>
          <w:rFonts w:ascii="Book Antiqua" w:hAnsi="Book Antiqua"/>
        </w:rPr>
        <w:t>norma introdotta dalla Legge di stabilità 2013 (art.1, comma 380, lettera f</w:t>
      </w:r>
      <w:r w:rsidR="00863E87" w:rsidRPr="00CE6DE4">
        <w:rPr>
          <w:rFonts w:ascii="Book Antiqua" w:hAnsi="Book Antiqua"/>
        </w:rPr>
        <w:t>)</w:t>
      </w:r>
      <w:r w:rsidRPr="00CE6DE4">
        <w:rPr>
          <w:rFonts w:ascii="Book Antiqua" w:hAnsi="Book Antiqua"/>
        </w:rPr>
        <w:t xml:space="preserve"> </w:t>
      </w:r>
      <w:r w:rsidR="005F320D" w:rsidRPr="00CE6DE4">
        <w:rPr>
          <w:rFonts w:ascii="Book Antiqua" w:hAnsi="Book Antiqua"/>
        </w:rPr>
        <w:t xml:space="preserve">comporta la </w:t>
      </w:r>
      <w:r w:rsidRPr="00CE6DE4">
        <w:rPr>
          <w:rFonts w:ascii="Book Antiqua" w:hAnsi="Book Antiqua"/>
        </w:rPr>
        <w:t>riserva</w:t>
      </w:r>
      <w:r w:rsidR="005F320D" w:rsidRPr="00CE6DE4">
        <w:rPr>
          <w:rFonts w:ascii="Book Antiqua" w:hAnsi="Book Antiqua"/>
        </w:rPr>
        <w:t xml:space="preserve"> </w:t>
      </w:r>
      <w:r w:rsidRPr="00CE6DE4">
        <w:rPr>
          <w:rFonts w:ascii="Book Antiqua" w:hAnsi="Book Antiqua"/>
        </w:rPr>
        <w:t xml:space="preserve">allo Stato </w:t>
      </w:r>
      <w:r w:rsidR="005F320D" w:rsidRPr="00CE6DE4">
        <w:rPr>
          <w:rFonts w:ascii="Book Antiqua" w:hAnsi="Book Antiqua"/>
        </w:rPr>
        <w:t xml:space="preserve">del relativo </w:t>
      </w:r>
      <w:r w:rsidRPr="00CE6DE4">
        <w:rPr>
          <w:rFonts w:ascii="Book Antiqua" w:hAnsi="Book Antiqua"/>
        </w:rPr>
        <w:t xml:space="preserve">gettito ad aliquota </w:t>
      </w:r>
      <w:r w:rsidR="005F320D" w:rsidRPr="00CE6DE4">
        <w:rPr>
          <w:rFonts w:ascii="Book Antiqua" w:hAnsi="Book Antiqua"/>
        </w:rPr>
        <w:t xml:space="preserve">standard </w:t>
      </w:r>
      <w:r w:rsidRPr="00CE6DE4">
        <w:rPr>
          <w:rFonts w:ascii="Book Antiqua" w:hAnsi="Book Antiqua"/>
        </w:rPr>
        <w:t>dello 0,2 per cento</w:t>
      </w:r>
      <w:r w:rsidR="00AE1D33" w:rsidRPr="00CE6DE4">
        <w:rPr>
          <w:rFonts w:ascii="Book Antiqua" w:hAnsi="Book Antiqua"/>
        </w:rPr>
        <w:t xml:space="preserve"> e l’inapplicabilità delle riduzioni introdotte dai Comuni</w:t>
      </w:r>
      <w:r w:rsidR="00B52AD7" w:rsidRPr="00CE6DE4">
        <w:rPr>
          <w:rFonts w:ascii="Book Antiqua" w:hAnsi="Book Antiqua"/>
        </w:rPr>
        <w:t xml:space="preserve">. </w:t>
      </w:r>
    </w:p>
    <w:p w:rsidR="009A3594" w:rsidRPr="00CE6DE4" w:rsidRDefault="00AE3F9D" w:rsidP="00CE6DE4">
      <w:pPr>
        <w:spacing w:after="120"/>
        <w:jc w:val="both"/>
        <w:rPr>
          <w:rFonts w:ascii="Book Antiqua" w:hAnsi="Book Antiqua"/>
        </w:rPr>
      </w:pPr>
      <w:r w:rsidRPr="00CE6DE4">
        <w:rPr>
          <w:rFonts w:ascii="Book Antiqua" w:hAnsi="Book Antiqua"/>
        </w:rPr>
        <w:t>Q</w:t>
      </w:r>
      <w:r w:rsidR="007A4ADC" w:rsidRPr="00CE6DE4">
        <w:rPr>
          <w:rFonts w:ascii="Book Antiqua" w:hAnsi="Book Antiqua"/>
        </w:rPr>
        <w:t xml:space="preserve">uesta interpretazione </w:t>
      </w:r>
      <w:r w:rsidR="008879E3" w:rsidRPr="00CE6DE4">
        <w:rPr>
          <w:rFonts w:ascii="Book Antiqua" w:hAnsi="Book Antiqua"/>
        </w:rPr>
        <w:t>appare</w:t>
      </w:r>
      <w:r w:rsidR="00FD33FE" w:rsidRPr="00CE6DE4">
        <w:rPr>
          <w:rFonts w:ascii="Book Antiqua" w:hAnsi="Book Antiqua"/>
        </w:rPr>
        <w:t>,</w:t>
      </w:r>
      <w:r w:rsidR="008879E3" w:rsidRPr="00CE6DE4">
        <w:rPr>
          <w:rFonts w:ascii="Book Antiqua" w:hAnsi="Book Antiqua"/>
        </w:rPr>
        <w:t xml:space="preserve"> </w:t>
      </w:r>
      <w:r w:rsidRPr="00CE6DE4">
        <w:rPr>
          <w:rFonts w:ascii="Book Antiqua" w:hAnsi="Book Antiqua"/>
        </w:rPr>
        <w:t>tuttavia</w:t>
      </w:r>
      <w:r w:rsidR="00FD33FE" w:rsidRPr="00CE6DE4">
        <w:rPr>
          <w:rFonts w:ascii="Book Antiqua" w:hAnsi="Book Antiqua"/>
        </w:rPr>
        <w:t>,</w:t>
      </w:r>
      <w:r w:rsidR="008879E3" w:rsidRPr="00CE6DE4">
        <w:rPr>
          <w:rFonts w:ascii="Book Antiqua" w:hAnsi="Book Antiqua"/>
        </w:rPr>
        <w:t xml:space="preserve"> incongrua poiché</w:t>
      </w:r>
      <w:r w:rsidR="005C77EF" w:rsidRPr="00CE6DE4">
        <w:rPr>
          <w:rFonts w:ascii="Book Antiqua" w:hAnsi="Book Antiqua"/>
        </w:rPr>
        <w:t xml:space="preserve"> l’esigenza di tutela che caratterizza l’agevolazione riservata ai </w:t>
      </w:r>
      <w:r w:rsidR="005F320D" w:rsidRPr="00CE6DE4">
        <w:rPr>
          <w:rFonts w:ascii="Book Antiqua" w:hAnsi="Book Antiqua"/>
        </w:rPr>
        <w:t xml:space="preserve">fabbricati </w:t>
      </w:r>
      <w:r w:rsidR="005C77EF" w:rsidRPr="00CE6DE4">
        <w:rPr>
          <w:rFonts w:ascii="Book Antiqua" w:hAnsi="Book Antiqua"/>
        </w:rPr>
        <w:t xml:space="preserve">rurali strumentali </w:t>
      </w:r>
      <w:r w:rsidR="006B7126" w:rsidRPr="00CE6DE4">
        <w:rPr>
          <w:rFonts w:ascii="Book Antiqua" w:hAnsi="Book Antiqua"/>
        </w:rPr>
        <w:t xml:space="preserve">non può in ogni caso </w:t>
      </w:r>
      <w:r w:rsidRPr="00CE6DE4">
        <w:rPr>
          <w:rFonts w:ascii="Book Antiqua" w:hAnsi="Book Antiqua"/>
        </w:rPr>
        <w:t>collegarsi ad una particolare</w:t>
      </w:r>
      <w:r w:rsidR="005C77EF" w:rsidRPr="00CE6DE4">
        <w:rPr>
          <w:rFonts w:ascii="Book Antiqua" w:hAnsi="Book Antiqua"/>
        </w:rPr>
        <w:t xml:space="preserve"> classificazione catastale</w:t>
      </w:r>
      <w:r w:rsidRPr="00CE6DE4">
        <w:rPr>
          <w:rFonts w:ascii="Book Antiqua" w:hAnsi="Book Antiqua"/>
        </w:rPr>
        <w:t>,</w:t>
      </w:r>
      <w:r w:rsidR="005C77EF" w:rsidRPr="00CE6DE4">
        <w:rPr>
          <w:rFonts w:ascii="Book Antiqua" w:hAnsi="Book Antiqua"/>
        </w:rPr>
        <w:t xml:space="preserve"> ma </w:t>
      </w:r>
      <w:r w:rsidR="005F320D" w:rsidRPr="00CE6DE4">
        <w:rPr>
          <w:rFonts w:ascii="Book Antiqua" w:hAnsi="Book Antiqua"/>
        </w:rPr>
        <w:t>deriva dal</w:t>
      </w:r>
      <w:r w:rsidR="005C77EF" w:rsidRPr="00CE6DE4">
        <w:rPr>
          <w:rFonts w:ascii="Book Antiqua" w:hAnsi="Book Antiqua"/>
        </w:rPr>
        <w:t>la funzione cui assol</w:t>
      </w:r>
      <w:r w:rsidR="00286345" w:rsidRPr="00CE6DE4">
        <w:rPr>
          <w:rFonts w:ascii="Book Antiqua" w:hAnsi="Book Antiqua"/>
        </w:rPr>
        <w:t>vono gli immobili in questione.</w:t>
      </w:r>
      <w:r w:rsidR="005F320D" w:rsidRPr="00CE6DE4">
        <w:rPr>
          <w:rFonts w:ascii="Book Antiqua" w:hAnsi="Book Antiqua"/>
        </w:rPr>
        <w:t xml:space="preserve"> </w:t>
      </w:r>
      <w:r w:rsidRPr="00CE6DE4">
        <w:rPr>
          <w:rFonts w:ascii="Book Antiqua" w:hAnsi="Book Antiqua"/>
        </w:rPr>
        <w:t>Il regime</w:t>
      </w:r>
      <w:r w:rsidR="005F320D" w:rsidRPr="00CE6DE4">
        <w:rPr>
          <w:rFonts w:ascii="Book Antiqua" w:hAnsi="Book Antiqua"/>
        </w:rPr>
        <w:t xml:space="preserve"> dei fabbricati rurali strumentali dovrebbe restare </w:t>
      </w:r>
      <w:r w:rsidRPr="00CE6DE4">
        <w:rPr>
          <w:rFonts w:ascii="Book Antiqua" w:hAnsi="Book Antiqua"/>
        </w:rPr>
        <w:t>omogeneo</w:t>
      </w:r>
      <w:r w:rsidR="005F320D" w:rsidRPr="00CE6DE4">
        <w:rPr>
          <w:rFonts w:ascii="Book Antiqua" w:hAnsi="Book Antiqua"/>
        </w:rPr>
        <w:t xml:space="preserve"> e coerente co</w:t>
      </w:r>
      <w:r w:rsidR="006B7126" w:rsidRPr="00CE6DE4">
        <w:rPr>
          <w:rFonts w:ascii="Book Antiqua" w:hAnsi="Book Antiqua"/>
        </w:rPr>
        <w:t xml:space="preserve">n </w:t>
      </w:r>
      <w:r w:rsidRPr="00CE6DE4">
        <w:rPr>
          <w:rFonts w:ascii="Book Antiqua" w:hAnsi="Book Antiqua"/>
        </w:rPr>
        <w:t xml:space="preserve">la disciplina delle aliquote </w:t>
      </w:r>
      <w:r w:rsidR="005F320D" w:rsidRPr="00CE6DE4">
        <w:rPr>
          <w:rFonts w:ascii="Book Antiqua" w:hAnsi="Book Antiqua"/>
        </w:rPr>
        <w:t>dispost</w:t>
      </w:r>
      <w:r w:rsidRPr="00CE6DE4">
        <w:rPr>
          <w:rFonts w:ascii="Book Antiqua" w:hAnsi="Book Antiqua"/>
        </w:rPr>
        <w:t>a</w:t>
      </w:r>
      <w:r w:rsidR="006B7126" w:rsidRPr="00CE6DE4">
        <w:rPr>
          <w:rFonts w:ascii="Book Antiqua" w:hAnsi="Book Antiqua"/>
        </w:rPr>
        <w:t xml:space="preserve"> dal comma 8</w:t>
      </w:r>
      <w:r w:rsidR="005F320D" w:rsidRPr="00CE6DE4">
        <w:rPr>
          <w:rFonts w:ascii="Book Antiqua" w:hAnsi="Book Antiqua"/>
        </w:rPr>
        <w:t>, art. 13, del dl n. 201 del 2011, senza riguardo alla classificazione attribuita ai fabbricati medesimi sulla base delle diverse norme e pronunce giurisprudenziali susseguitesi nel tem</w:t>
      </w:r>
      <w:r w:rsidR="006B7126" w:rsidRPr="00CE6DE4">
        <w:rPr>
          <w:rFonts w:ascii="Book Antiqua" w:hAnsi="Book Antiqua"/>
        </w:rPr>
        <w:t>p</w:t>
      </w:r>
      <w:r w:rsidR="005F320D" w:rsidRPr="00CE6DE4">
        <w:rPr>
          <w:rFonts w:ascii="Book Antiqua" w:hAnsi="Book Antiqua"/>
        </w:rPr>
        <w:t xml:space="preserve">o. </w:t>
      </w:r>
      <w:r w:rsidR="00AB230D" w:rsidRPr="00CE6DE4">
        <w:rPr>
          <w:rFonts w:ascii="Book Antiqua" w:hAnsi="Book Antiqua"/>
        </w:rPr>
        <w:t>È noto infatti che</w:t>
      </w:r>
      <w:r w:rsidR="00211F92" w:rsidRPr="00CE6DE4">
        <w:rPr>
          <w:rFonts w:ascii="Book Antiqua" w:hAnsi="Book Antiqua"/>
        </w:rPr>
        <w:t>,</w:t>
      </w:r>
      <w:r w:rsidR="00AB230D" w:rsidRPr="00CE6DE4">
        <w:rPr>
          <w:rFonts w:ascii="Book Antiqua" w:hAnsi="Book Antiqua"/>
        </w:rPr>
        <w:t xml:space="preserve"> a seguito dell’emanazione della procedura di cui al dl</w:t>
      </w:r>
      <w:r w:rsidR="001F5101" w:rsidRPr="00CE6DE4">
        <w:rPr>
          <w:rFonts w:ascii="Book Antiqua" w:hAnsi="Book Antiqua"/>
        </w:rPr>
        <w:t xml:space="preserve"> </w:t>
      </w:r>
      <w:r w:rsidR="00AB230D" w:rsidRPr="00CE6DE4">
        <w:rPr>
          <w:rFonts w:ascii="Book Antiqua" w:hAnsi="Book Antiqua"/>
        </w:rPr>
        <w:t>70</w:t>
      </w:r>
      <w:r w:rsidR="001F5101" w:rsidRPr="00CE6DE4">
        <w:rPr>
          <w:rFonts w:ascii="Book Antiqua" w:hAnsi="Book Antiqua"/>
        </w:rPr>
        <w:t xml:space="preserve"> del 2011</w:t>
      </w:r>
      <w:r w:rsidR="00AE1D33" w:rsidRPr="00CE6DE4">
        <w:rPr>
          <w:rFonts w:ascii="Book Antiqua" w:hAnsi="Book Antiqua"/>
        </w:rPr>
        <w:t xml:space="preserve"> (art. 7, comma 2-bis)</w:t>
      </w:r>
      <w:r w:rsidR="00AB230D" w:rsidRPr="00CE6DE4">
        <w:rPr>
          <w:rFonts w:ascii="Book Antiqua" w:hAnsi="Book Antiqua"/>
        </w:rPr>
        <w:t>, ripresa poi con il dl 201 (</w:t>
      </w:r>
      <w:r w:rsidR="00AE1D33" w:rsidRPr="00CE6DE4">
        <w:rPr>
          <w:rFonts w:ascii="Book Antiqua" w:hAnsi="Book Antiqua"/>
        </w:rPr>
        <w:t>art. 13, comma</w:t>
      </w:r>
      <w:r w:rsidR="001F5101" w:rsidRPr="00CE6DE4">
        <w:rPr>
          <w:rFonts w:ascii="Book Antiqua" w:hAnsi="Book Antiqua"/>
        </w:rPr>
        <w:t xml:space="preserve"> 14-</w:t>
      </w:r>
      <w:r w:rsidR="001F5101" w:rsidRPr="00CE6DE4">
        <w:rPr>
          <w:rFonts w:ascii="Book Antiqua" w:hAnsi="Book Antiqua"/>
          <w:i/>
        </w:rPr>
        <w:t>bis</w:t>
      </w:r>
      <w:r w:rsidR="00AE1D33" w:rsidRPr="00CE6DE4">
        <w:rPr>
          <w:rFonts w:ascii="Book Antiqua" w:hAnsi="Book Antiqua"/>
        </w:rPr>
        <w:t xml:space="preserve">) e completata con </w:t>
      </w:r>
      <w:r w:rsidR="009A3594" w:rsidRPr="00CE6DE4">
        <w:rPr>
          <w:rFonts w:ascii="Book Antiqua" w:hAnsi="Book Antiqua"/>
        </w:rPr>
        <w:t>i</w:t>
      </w:r>
      <w:r w:rsidR="00AE1D33" w:rsidRPr="00CE6DE4">
        <w:rPr>
          <w:rFonts w:ascii="Book Antiqua" w:hAnsi="Book Antiqua"/>
        </w:rPr>
        <w:t>l decreto del Mef 26 luglio 2012</w:t>
      </w:r>
      <w:r w:rsidR="001F5101" w:rsidRPr="00F53F01">
        <w:rPr>
          <w:rFonts w:ascii="Book Antiqua" w:hAnsi="Book Antiqua"/>
        </w:rPr>
        <w:t>,</w:t>
      </w:r>
      <w:r w:rsidR="00AB230D" w:rsidRPr="00F53F01">
        <w:rPr>
          <w:rFonts w:ascii="Book Antiqua" w:hAnsi="Book Antiqua"/>
        </w:rPr>
        <w:t xml:space="preserve"> </w:t>
      </w:r>
      <w:r w:rsidR="00AB230D" w:rsidRPr="00CE6DE4">
        <w:rPr>
          <w:rFonts w:ascii="Book Antiqua" w:hAnsi="Book Antiqua"/>
        </w:rPr>
        <w:t xml:space="preserve">il riconoscimento del carattere rurale strumentale di un fabbricato non comporta </w:t>
      </w:r>
      <w:r w:rsidR="00211F92" w:rsidRPr="00CE6DE4">
        <w:rPr>
          <w:rFonts w:ascii="Book Antiqua" w:hAnsi="Book Antiqua"/>
        </w:rPr>
        <w:t xml:space="preserve">dallo scorso anno </w:t>
      </w:r>
      <w:r w:rsidR="00AB230D" w:rsidRPr="00CE6DE4">
        <w:rPr>
          <w:rFonts w:ascii="Book Antiqua" w:hAnsi="Book Antiqua"/>
        </w:rPr>
        <w:t xml:space="preserve">l’automatica attribuzione della categoria catastale D10, </w:t>
      </w:r>
      <w:r w:rsidR="00211F92" w:rsidRPr="00CE6DE4">
        <w:rPr>
          <w:rFonts w:ascii="Book Antiqua" w:hAnsi="Book Antiqua"/>
        </w:rPr>
        <w:t xml:space="preserve">bensì </w:t>
      </w:r>
      <w:r w:rsidR="00AB230D" w:rsidRPr="00CE6DE4">
        <w:rPr>
          <w:rFonts w:ascii="Book Antiqua" w:hAnsi="Book Antiqua"/>
        </w:rPr>
        <w:t xml:space="preserve">l’annotazione della caratteristica negli archivi catastali </w:t>
      </w:r>
      <w:r w:rsidR="00211F92" w:rsidRPr="00CE6DE4">
        <w:rPr>
          <w:rFonts w:ascii="Book Antiqua" w:hAnsi="Book Antiqua"/>
        </w:rPr>
        <w:t xml:space="preserve">con </w:t>
      </w:r>
      <w:r w:rsidR="00AB230D" w:rsidRPr="00CE6DE4">
        <w:rPr>
          <w:rFonts w:ascii="Book Antiqua" w:hAnsi="Book Antiqua"/>
        </w:rPr>
        <w:t xml:space="preserve">il mantenimento della categoria più appropriata. </w:t>
      </w:r>
    </w:p>
    <w:p w:rsidR="009A3594" w:rsidRDefault="00AB230D" w:rsidP="00CE6DE4">
      <w:pPr>
        <w:spacing w:after="120"/>
        <w:jc w:val="both"/>
        <w:rPr>
          <w:rFonts w:ascii="Book Antiqua" w:hAnsi="Book Antiqua"/>
        </w:rPr>
      </w:pPr>
      <w:r w:rsidRPr="00CE6DE4">
        <w:rPr>
          <w:rFonts w:ascii="Book Antiqua" w:hAnsi="Book Antiqua"/>
        </w:rPr>
        <w:t xml:space="preserve">L’attribuzione del gettito allo Stato, con la conseguenza della generalizzata applicazione dell’aliquota base del 2 per mille, </w:t>
      </w:r>
      <w:r w:rsidR="005F320D" w:rsidRPr="00CE6DE4">
        <w:rPr>
          <w:rFonts w:ascii="Book Antiqua" w:hAnsi="Book Antiqua"/>
        </w:rPr>
        <w:t xml:space="preserve">produrrebbe una </w:t>
      </w:r>
      <w:r w:rsidR="003A6B4D" w:rsidRPr="00CE6DE4">
        <w:rPr>
          <w:rFonts w:ascii="Book Antiqua" w:hAnsi="Book Antiqua"/>
        </w:rPr>
        <w:t xml:space="preserve">ingiustificata compressione dell’autonomia </w:t>
      </w:r>
      <w:r w:rsidR="005F320D" w:rsidRPr="00CE6DE4">
        <w:rPr>
          <w:rFonts w:ascii="Book Antiqua" w:hAnsi="Book Antiqua"/>
        </w:rPr>
        <w:t>regolamentare comunale in materia di</w:t>
      </w:r>
      <w:r w:rsidR="00920373" w:rsidRPr="00CE6DE4">
        <w:rPr>
          <w:rFonts w:ascii="Book Antiqua" w:hAnsi="Book Antiqua"/>
        </w:rPr>
        <w:t xml:space="preserve"> variazione delle aliquote, </w:t>
      </w:r>
      <w:r w:rsidR="005F320D" w:rsidRPr="00CE6DE4">
        <w:rPr>
          <w:rFonts w:ascii="Book Antiqua" w:hAnsi="Book Antiqua"/>
        </w:rPr>
        <w:t xml:space="preserve">e </w:t>
      </w:r>
      <w:r w:rsidR="003A6B4D" w:rsidRPr="00CE6DE4">
        <w:rPr>
          <w:rFonts w:ascii="Book Antiqua" w:hAnsi="Book Antiqua"/>
        </w:rPr>
        <w:t xml:space="preserve">– </w:t>
      </w:r>
      <w:r w:rsidR="005F320D" w:rsidRPr="00CE6DE4">
        <w:rPr>
          <w:rFonts w:ascii="Book Antiqua" w:hAnsi="Book Antiqua"/>
        </w:rPr>
        <w:t xml:space="preserve">soprattutto </w:t>
      </w:r>
      <w:r w:rsidR="00920373" w:rsidRPr="00CE6DE4">
        <w:rPr>
          <w:rFonts w:ascii="Book Antiqua" w:hAnsi="Book Antiqua"/>
        </w:rPr>
        <w:t xml:space="preserve">– </w:t>
      </w:r>
      <w:r w:rsidR="003A6B4D" w:rsidRPr="00CE6DE4">
        <w:rPr>
          <w:rFonts w:ascii="Book Antiqua" w:hAnsi="Book Antiqua"/>
        </w:rPr>
        <w:t>una disparità di trattamento</w:t>
      </w:r>
      <w:r w:rsidR="006B7126" w:rsidRPr="00CE6DE4">
        <w:rPr>
          <w:rFonts w:ascii="Book Antiqua" w:hAnsi="Book Antiqua"/>
        </w:rPr>
        <w:t xml:space="preserve"> </w:t>
      </w:r>
      <w:r w:rsidR="005F320D" w:rsidRPr="00CE6DE4">
        <w:rPr>
          <w:rFonts w:ascii="Book Antiqua" w:hAnsi="Book Antiqua"/>
        </w:rPr>
        <w:t xml:space="preserve">nei confronti dei possessori di tali fattispecie imponibili che risulterebbero diversamente gravati per fabbricati simili soltanto a seconda del diverso percorso o periodo di accatastamento </w:t>
      </w:r>
      <w:r w:rsidR="00F53F01">
        <w:rPr>
          <w:rFonts w:ascii="Book Antiqua" w:hAnsi="Book Antiqua"/>
        </w:rPr>
        <w:t xml:space="preserve">di </w:t>
      </w:r>
      <w:r w:rsidR="005F320D" w:rsidRPr="00CE6DE4">
        <w:rPr>
          <w:rFonts w:ascii="Book Antiqua" w:hAnsi="Book Antiqua"/>
        </w:rPr>
        <w:t xml:space="preserve">ciascun fabbricato. </w:t>
      </w:r>
      <w:r w:rsidR="00FD33FE" w:rsidRPr="00CE6DE4">
        <w:rPr>
          <w:rFonts w:ascii="Book Antiqua" w:hAnsi="Book Antiqua"/>
        </w:rPr>
        <w:t xml:space="preserve"> </w:t>
      </w:r>
    </w:p>
    <w:p w:rsidR="001A28F9" w:rsidRPr="001A28F9" w:rsidRDefault="001A28F9" w:rsidP="001A28F9">
      <w:pPr>
        <w:shd w:val="clear" w:color="auto" w:fill="FFFFFF"/>
        <w:spacing w:after="120"/>
        <w:jc w:val="both"/>
        <w:rPr>
          <w:rFonts w:ascii="Book Antiqua" w:eastAsia="Times New Roman" w:hAnsi="Book Antiqua" w:cs="Arial"/>
          <w:color w:val="222222"/>
          <w:lang w:eastAsia="it-IT"/>
        </w:rPr>
      </w:pPr>
      <w:r w:rsidRPr="001A28F9">
        <w:rPr>
          <w:rFonts w:ascii="Book Antiqua" w:eastAsia="Times New Roman" w:hAnsi="Book Antiqua" w:cs="Arial"/>
          <w:color w:val="222222"/>
          <w:lang w:eastAsia="it-IT"/>
        </w:rPr>
        <w:t>A ben vedere, del resto, l’interpretazione proposta dal Mef non appare neanche coerente con una lettura sistematica della disciplina I</w:t>
      </w:r>
      <w:r w:rsidR="00977C60">
        <w:rPr>
          <w:rFonts w:ascii="Book Antiqua" w:eastAsia="Times New Roman" w:hAnsi="Book Antiqua" w:cs="Arial"/>
          <w:color w:val="222222"/>
          <w:lang w:eastAsia="it-IT"/>
        </w:rPr>
        <w:t>MU</w:t>
      </w:r>
      <w:r w:rsidRPr="001A28F9">
        <w:rPr>
          <w:rFonts w:ascii="Book Antiqua" w:eastAsia="Times New Roman" w:hAnsi="Book Antiqua" w:cs="Arial"/>
          <w:color w:val="222222"/>
          <w:lang w:eastAsia="it-IT"/>
        </w:rPr>
        <w:t>, come modificata ed integrata dalla legge di stabilità 2013. Con riferimento alle aliquote, la “disciplina generale” è contenuta nell’art. 13, comma 6, del dl n. 201 del 2011, che fissa l’aliquota ordinaria pari allo 0,76 per cento. I successivi commi 7 e 8 fissano una “disciplina speciale” con riferimento, rispettivamente, alle abitazioni principali ed ai fabbricati strumentali rurali.</w:t>
      </w:r>
    </w:p>
    <w:p w:rsidR="001A28F9" w:rsidRPr="001A28F9" w:rsidRDefault="001A28F9" w:rsidP="001A28F9">
      <w:pPr>
        <w:shd w:val="clear" w:color="auto" w:fill="FFFFFF"/>
        <w:spacing w:after="120"/>
        <w:jc w:val="both"/>
        <w:rPr>
          <w:rFonts w:ascii="Book Antiqua" w:eastAsia="Times New Roman" w:hAnsi="Book Antiqua" w:cs="Arial"/>
          <w:color w:val="222222"/>
          <w:lang w:eastAsia="it-IT"/>
        </w:rPr>
      </w:pPr>
      <w:r w:rsidRPr="001A28F9">
        <w:rPr>
          <w:rFonts w:ascii="Book Antiqua" w:eastAsia="Times New Roman" w:hAnsi="Book Antiqua" w:cs="Arial"/>
          <w:color w:val="222222"/>
          <w:lang w:eastAsia="it-IT"/>
        </w:rPr>
        <w:t>L’art. 1, comma 380, lett. f)</w:t>
      </w:r>
      <w:r w:rsidR="00F53F01">
        <w:rPr>
          <w:rFonts w:ascii="Book Antiqua" w:eastAsia="Times New Roman" w:hAnsi="Book Antiqua" w:cs="Arial"/>
          <w:color w:val="222222"/>
          <w:lang w:eastAsia="it-IT"/>
        </w:rPr>
        <w:t>,</w:t>
      </w:r>
      <w:r w:rsidRPr="001A28F9">
        <w:rPr>
          <w:rFonts w:ascii="Book Antiqua" w:eastAsia="Times New Roman" w:hAnsi="Book Antiqua" w:cs="Arial"/>
          <w:color w:val="222222"/>
          <w:lang w:eastAsia="it-IT"/>
        </w:rPr>
        <w:t xml:space="preserve"> della legge n. 228 del 2012 prevede che è riservato allo Stato il gettito IMU “</w:t>
      </w:r>
      <w:r w:rsidRPr="001A28F9">
        <w:rPr>
          <w:rFonts w:ascii="Book Antiqua" w:eastAsia="Times New Roman" w:hAnsi="Book Antiqua" w:cs="Arial"/>
          <w:i/>
          <w:iCs/>
          <w:color w:val="222222"/>
          <w:lang w:eastAsia="it-IT"/>
        </w:rPr>
        <w:t>derivante dagli immobili ad uso produttivo classificati nel gruppo catastale D, </w:t>
      </w:r>
      <w:r w:rsidRPr="001A28F9">
        <w:rPr>
          <w:rFonts w:ascii="Book Antiqua" w:eastAsia="Times New Roman" w:hAnsi="Book Antiqua" w:cs="Arial"/>
          <w:i/>
          <w:iCs/>
          <w:color w:val="222222"/>
          <w:u w:val="single"/>
          <w:lang w:eastAsia="it-IT"/>
        </w:rPr>
        <w:t>calcolato ad aliquota standard dello 0,76 </w:t>
      </w:r>
      <w:r w:rsidRPr="001A28F9">
        <w:rPr>
          <w:rFonts w:ascii="Book Antiqua" w:eastAsia="Times New Roman" w:hAnsi="Book Antiqua" w:cs="Arial"/>
          <w:i/>
          <w:iCs/>
          <w:color w:val="222222"/>
          <w:lang w:eastAsia="it-IT"/>
        </w:rPr>
        <w:t>per cento, prevista dal comma 6, primo periodo, del citato articolo 13</w:t>
      </w:r>
      <w:r w:rsidRPr="001A28F9">
        <w:rPr>
          <w:rFonts w:ascii="Book Antiqua" w:eastAsia="Times New Roman" w:hAnsi="Book Antiqua" w:cs="Arial"/>
          <w:color w:val="222222"/>
          <w:lang w:eastAsia="it-IT"/>
        </w:rPr>
        <w:t>”.</w:t>
      </w:r>
    </w:p>
    <w:p w:rsidR="001A28F9" w:rsidRPr="001A28F9" w:rsidRDefault="001A28F9" w:rsidP="001A28F9">
      <w:pPr>
        <w:shd w:val="clear" w:color="auto" w:fill="FFFFFF"/>
        <w:spacing w:after="120"/>
        <w:jc w:val="both"/>
        <w:rPr>
          <w:rFonts w:ascii="Book Antiqua" w:eastAsia="Times New Roman" w:hAnsi="Book Antiqua" w:cs="Arial"/>
          <w:color w:val="222222"/>
          <w:lang w:eastAsia="it-IT"/>
        </w:rPr>
      </w:pPr>
      <w:r w:rsidRPr="001A28F9">
        <w:rPr>
          <w:rFonts w:ascii="Book Antiqua" w:eastAsia="Times New Roman" w:hAnsi="Book Antiqua" w:cs="Arial"/>
          <w:color w:val="222222"/>
          <w:lang w:eastAsia="it-IT"/>
        </w:rPr>
        <w:t>Non è stata modificata la disciplina speciale prevista al comma 8 per i fabbricati strumentali rurali</w:t>
      </w:r>
      <w:r w:rsidR="00F53F01">
        <w:rPr>
          <w:rFonts w:ascii="Book Antiqua" w:eastAsia="Times New Roman" w:hAnsi="Book Antiqua" w:cs="Arial"/>
          <w:color w:val="222222"/>
          <w:lang w:eastAsia="it-IT"/>
        </w:rPr>
        <w:t>,</w:t>
      </w:r>
      <w:r w:rsidRPr="001A28F9">
        <w:rPr>
          <w:rFonts w:ascii="Book Antiqua" w:eastAsia="Times New Roman" w:hAnsi="Book Antiqua" w:cs="Arial"/>
          <w:color w:val="222222"/>
          <w:lang w:eastAsia="it-IT"/>
        </w:rPr>
        <w:t xml:space="preserve"> assoggettati non all’aliquota standard dello 0,76 per cento ma a quella ridotta dello 0,2 per cento. Il gettito di questa categoria di fabbricati è poi riservato interamente ai Comuni, nonostante l’abrogazione dell’art. 13, comma 11 del </w:t>
      </w:r>
      <w:r>
        <w:rPr>
          <w:rFonts w:ascii="Book Antiqua" w:eastAsia="Times New Roman" w:hAnsi="Book Antiqua" w:cs="Arial"/>
          <w:color w:val="222222"/>
          <w:lang w:eastAsia="it-IT"/>
        </w:rPr>
        <w:t xml:space="preserve">dl </w:t>
      </w:r>
      <w:r w:rsidRPr="001A28F9">
        <w:rPr>
          <w:rFonts w:ascii="Book Antiqua" w:eastAsia="Times New Roman" w:hAnsi="Book Antiqua" w:cs="Arial"/>
          <w:color w:val="222222"/>
          <w:lang w:eastAsia="it-IT"/>
        </w:rPr>
        <w:t>n. 201/2011, in quanto gettito relativo a fabbricati diversi da quello cui si rende applicabile l’aliquota dello 0,76 per cento.</w:t>
      </w:r>
      <w:r>
        <w:rPr>
          <w:rFonts w:ascii="Book Antiqua" w:eastAsia="Times New Roman" w:hAnsi="Book Antiqua" w:cs="Arial"/>
          <w:color w:val="222222"/>
          <w:lang w:eastAsia="it-IT"/>
        </w:rPr>
        <w:t xml:space="preserve"> L</w:t>
      </w:r>
      <w:r w:rsidRPr="001A28F9">
        <w:rPr>
          <w:rFonts w:ascii="Book Antiqua" w:eastAsia="Times New Roman" w:hAnsi="Book Antiqua" w:cs="Arial"/>
          <w:color w:val="222222"/>
          <w:lang w:eastAsia="it-IT"/>
        </w:rPr>
        <w:t xml:space="preserve">a distinzione ai fini del regime IMU applicabile tra fabbricati rurali strumentali e </w:t>
      </w:r>
      <w:r w:rsidRPr="001A28F9">
        <w:rPr>
          <w:rFonts w:ascii="Book Antiqua" w:eastAsia="Times New Roman" w:hAnsi="Book Antiqua" w:cs="Arial"/>
          <w:color w:val="222222"/>
          <w:lang w:eastAsia="it-IT"/>
        </w:rPr>
        <w:lastRenderedPageBreak/>
        <w:t xml:space="preserve">altri immobili, anche appartenenti al gruppo catastale D, appare </w:t>
      </w:r>
      <w:r>
        <w:rPr>
          <w:rFonts w:ascii="Book Antiqua" w:eastAsia="Times New Roman" w:hAnsi="Book Antiqua" w:cs="Arial"/>
          <w:color w:val="222222"/>
          <w:lang w:eastAsia="it-IT"/>
        </w:rPr>
        <w:t xml:space="preserve">dunque </w:t>
      </w:r>
      <w:r w:rsidRPr="001A28F9">
        <w:rPr>
          <w:rFonts w:ascii="Book Antiqua" w:eastAsia="Times New Roman" w:hAnsi="Book Antiqua" w:cs="Arial"/>
          <w:color w:val="222222"/>
          <w:lang w:eastAsia="it-IT"/>
        </w:rPr>
        <w:t xml:space="preserve">ben </w:t>
      </w:r>
      <w:r>
        <w:rPr>
          <w:rFonts w:ascii="Book Antiqua" w:eastAsia="Times New Roman" w:hAnsi="Book Antiqua" w:cs="Arial"/>
          <w:color w:val="222222"/>
          <w:lang w:eastAsia="it-IT"/>
        </w:rPr>
        <w:t xml:space="preserve">tracciata </w:t>
      </w:r>
      <w:r w:rsidRPr="001A28F9">
        <w:rPr>
          <w:rFonts w:ascii="Book Antiqua" w:eastAsia="Times New Roman" w:hAnsi="Book Antiqua" w:cs="Arial"/>
          <w:color w:val="222222"/>
          <w:lang w:eastAsia="it-IT"/>
        </w:rPr>
        <w:t xml:space="preserve">anche alla luce </w:t>
      </w:r>
      <w:r>
        <w:rPr>
          <w:rFonts w:ascii="Book Antiqua" w:eastAsia="Times New Roman" w:hAnsi="Book Antiqua" w:cs="Arial"/>
          <w:color w:val="222222"/>
          <w:lang w:eastAsia="it-IT"/>
        </w:rPr>
        <w:t xml:space="preserve">del contenuto letterale </w:t>
      </w:r>
      <w:r w:rsidRPr="001A28F9">
        <w:rPr>
          <w:rFonts w:ascii="Book Antiqua" w:eastAsia="Times New Roman" w:hAnsi="Book Antiqua" w:cs="Arial"/>
          <w:color w:val="222222"/>
          <w:lang w:eastAsia="it-IT"/>
        </w:rPr>
        <w:t>delle modifiche introdotte dalla legge di stabilità 2013.</w:t>
      </w:r>
    </w:p>
    <w:p w:rsidR="005C77EF" w:rsidRPr="00CE6DE4" w:rsidRDefault="00211F92" w:rsidP="00CE6DE4">
      <w:pPr>
        <w:spacing w:after="120"/>
        <w:jc w:val="both"/>
        <w:rPr>
          <w:rFonts w:ascii="Book Antiqua" w:hAnsi="Book Antiqua"/>
        </w:rPr>
      </w:pPr>
      <w:r w:rsidRPr="00CE6DE4">
        <w:rPr>
          <w:rFonts w:ascii="Book Antiqua" w:hAnsi="Book Antiqua"/>
        </w:rPr>
        <w:t>Si consideri</w:t>
      </w:r>
      <w:r w:rsidR="001A28F9">
        <w:rPr>
          <w:rFonts w:ascii="Book Antiqua" w:hAnsi="Book Antiqua"/>
        </w:rPr>
        <w:t>,</w:t>
      </w:r>
      <w:r w:rsidRPr="00CE6DE4">
        <w:rPr>
          <w:rFonts w:ascii="Book Antiqua" w:hAnsi="Book Antiqua"/>
        </w:rPr>
        <w:t xml:space="preserve"> </w:t>
      </w:r>
      <w:r w:rsidR="001A28F9">
        <w:rPr>
          <w:rFonts w:ascii="Book Antiqua" w:hAnsi="Book Antiqua"/>
        </w:rPr>
        <w:t xml:space="preserve">poi, </w:t>
      </w:r>
      <w:r w:rsidRPr="00CE6DE4">
        <w:rPr>
          <w:rFonts w:ascii="Book Antiqua" w:hAnsi="Book Antiqua"/>
        </w:rPr>
        <w:t xml:space="preserve">che su </w:t>
      </w:r>
      <w:r w:rsidR="00E07B22">
        <w:rPr>
          <w:rFonts w:ascii="Book Antiqua" w:hAnsi="Book Antiqua"/>
        </w:rPr>
        <w:t>circa 3.900</w:t>
      </w:r>
      <w:r w:rsidRPr="00CE6DE4">
        <w:rPr>
          <w:rFonts w:ascii="Book Antiqua" w:hAnsi="Book Antiqua"/>
        </w:rPr>
        <w:t xml:space="preserve"> Comuni nei quali </w:t>
      </w:r>
      <w:r w:rsidR="003A6B4D" w:rsidRPr="00CE6DE4">
        <w:rPr>
          <w:rFonts w:ascii="Book Antiqua" w:hAnsi="Book Antiqua"/>
        </w:rPr>
        <w:t xml:space="preserve">i fabbricati rurali strumentali sono imponibili, </w:t>
      </w:r>
      <w:r w:rsidR="00E07B22">
        <w:rPr>
          <w:rFonts w:ascii="Book Antiqua" w:hAnsi="Book Antiqua"/>
        </w:rPr>
        <w:t xml:space="preserve">oltre 500 </w:t>
      </w:r>
      <w:r w:rsidR="003A6B4D" w:rsidRPr="00CE6DE4">
        <w:rPr>
          <w:rFonts w:ascii="Book Antiqua" w:hAnsi="Book Antiqua"/>
        </w:rPr>
        <w:t>hanno ridotto l’aliquota nel 2012, nella gran parte dei casi all’1 per mille.</w:t>
      </w:r>
      <w:r w:rsidR="005F320D" w:rsidRPr="00CE6DE4">
        <w:rPr>
          <w:rFonts w:ascii="Book Antiqua" w:hAnsi="Book Antiqua"/>
        </w:rPr>
        <w:t xml:space="preserve"> </w:t>
      </w:r>
      <w:r w:rsidR="00DC7A18" w:rsidRPr="00CE6DE4">
        <w:rPr>
          <w:rFonts w:ascii="Book Antiqua" w:hAnsi="Book Antiqua"/>
        </w:rPr>
        <w:t>È dunque auspicabile che, in assenza di una interpretazione alternativa del nuovo quadro di applicazione dell’IMU dei fabbricati “D”, un’apposita variazione normativa assicuri la riconduzione di tutti i fabbricati rurali strumentali nell’ambito della disciplina specifica di cui al comma 8 dell’articolo 13 del dl 201/2011.</w:t>
      </w:r>
    </w:p>
    <w:p w:rsidR="001F49B1" w:rsidRPr="00CE6DE4" w:rsidRDefault="005F320D" w:rsidP="00CE6DE4">
      <w:pPr>
        <w:spacing w:after="120"/>
        <w:jc w:val="both"/>
        <w:rPr>
          <w:rFonts w:ascii="Book Antiqua" w:hAnsi="Book Antiqua"/>
        </w:rPr>
      </w:pPr>
      <w:r w:rsidRPr="00CE6DE4">
        <w:rPr>
          <w:rFonts w:ascii="Book Antiqua" w:hAnsi="Book Antiqua"/>
        </w:rPr>
        <w:t>P</w:t>
      </w:r>
      <w:r w:rsidR="001F49B1" w:rsidRPr="00CE6DE4">
        <w:rPr>
          <w:rFonts w:ascii="Book Antiqua" w:hAnsi="Book Antiqua"/>
        </w:rPr>
        <w:t>er i fabbricati rurali</w:t>
      </w:r>
      <w:r w:rsidR="00B52AD7" w:rsidRPr="00CE6DE4">
        <w:rPr>
          <w:rFonts w:ascii="Book Antiqua" w:hAnsi="Book Antiqua"/>
        </w:rPr>
        <w:t xml:space="preserve"> strumentali</w:t>
      </w:r>
      <w:r w:rsidR="001F49B1" w:rsidRPr="00CE6DE4">
        <w:rPr>
          <w:rFonts w:ascii="Book Antiqua" w:hAnsi="Book Antiqua"/>
        </w:rPr>
        <w:t xml:space="preserve"> classificati </w:t>
      </w:r>
      <w:r w:rsidR="00B52AD7" w:rsidRPr="00CE6DE4">
        <w:rPr>
          <w:rFonts w:ascii="Book Antiqua" w:hAnsi="Book Antiqua"/>
        </w:rPr>
        <w:t xml:space="preserve">in categoria catastale </w:t>
      </w:r>
      <w:r w:rsidR="00B52AD7" w:rsidRPr="00CE6DE4">
        <w:rPr>
          <w:rFonts w:ascii="Book Antiqua" w:hAnsi="Book Antiqua"/>
          <w:b/>
        </w:rPr>
        <w:t>diversa dalla D/10</w:t>
      </w:r>
      <w:r w:rsidR="001F49B1" w:rsidRPr="00CE6DE4">
        <w:rPr>
          <w:rFonts w:ascii="Book Antiqua" w:hAnsi="Book Antiqua"/>
        </w:rPr>
        <w:t>,</w:t>
      </w:r>
      <w:r w:rsidR="00B52AD7" w:rsidRPr="00CE6DE4">
        <w:rPr>
          <w:rFonts w:ascii="Book Antiqua" w:hAnsi="Book Antiqua"/>
        </w:rPr>
        <w:t xml:space="preserve"> </w:t>
      </w:r>
      <w:r w:rsidRPr="00CE6DE4">
        <w:rPr>
          <w:rFonts w:ascii="Book Antiqua" w:hAnsi="Book Antiqua"/>
        </w:rPr>
        <w:t xml:space="preserve">anche secondo le indicazioni del Mef, </w:t>
      </w:r>
      <w:r w:rsidR="00B52AD7" w:rsidRPr="00CE6DE4">
        <w:rPr>
          <w:rFonts w:ascii="Book Antiqua" w:hAnsi="Book Antiqua"/>
        </w:rPr>
        <w:t xml:space="preserve">il gettito </w:t>
      </w:r>
      <w:r w:rsidRPr="00CE6DE4">
        <w:rPr>
          <w:rFonts w:ascii="Book Antiqua" w:hAnsi="Book Antiqua"/>
        </w:rPr>
        <w:t xml:space="preserve">resta interamente riservato al </w:t>
      </w:r>
      <w:r w:rsidR="00B52AD7" w:rsidRPr="00CE6DE4">
        <w:rPr>
          <w:rFonts w:ascii="Book Antiqua" w:hAnsi="Book Antiqua"/>
        </w:rPr>
        <w:t>C</w:t>
      </w:r>
      <w:r w:rsidR="001F49B1" w:rsidRPr="00CE6DE4">
        <w:rPr>
          <w:rFonts w:ascii="Book Antiqua" w:hAnsi="Book Antiqua"/>
        </w:rPr>
        <w:t>omune</w:t>
      </w:r>
      <w:r w:rsidRPr="00CE6DE4">
        <w:rPr>
          <w:rFonts w:ascii="Book Antiqua" w:hAnsi="Book Antiqua"/>
        </w:rPr>
        <w:t xml:space="preserve"> (</w:t>
      </w:r>
      <w:r w:rsidR="001F49B1" w:rsidRPr="00CE6DE4">
        <w:rPr>
          <w:rFonts w:ascii="Book Antiqua" w:hAnsi="Book Antiqua"/>
        </w:rPr>
        <w:t>codice tributo 3913</w:t>
      </w:r>
      <w:r w:rsidRPr="00CE6DE4">
        <w:rPr>
          <w:rFonts w:ascii="Book Antiqua" w:hAnsi="Book Antiqua"/>
        </w:rPr>
        <w:t>)</w:t>
      </w:r>
      <w:r w:rsidR="001F49B1" w:rsidRPr="00CE6DE4">
        <w:rPr>
          <w:rFonts w:ascii="Book Antiqua" w:hAnsi="Book Antiqua"/>
        </w:rPr>
        <w:t xml:space="preserve">, e </w:t>
      </w:r>
      <w:r w:rsidRPr="00CE6DE4">
        <w:rPr>
          <w:rFonts w:ascii="Book Antiqua" w:hAnsi="Book Antiqua"/>
        </w:rPr>
        <w:t xml:space="preserve">permane </w:t>
      </w:r>
      <w:r w:rsidR="00B52AD7" w:rsidRPr="00CE6DE4">
        <w:rPr>
          <w:rFonts w:ascii="Book Antiqua" w:hAnsi="Book Antiqua"/>
        </w:rPr>
        <w:t xml:space="preserve">la </w:t>
      </w:r>
      <w:r w:rsidR="001F49B1" w:rsidRPr="00CE6DE4">
        <w:rPr>
          <w:rFonts w:ascii="Book Antiqua" w:hAnsi="Book Antiqua"/>
        </w:rPr>
        <w:t xml:space="preserve">possibilità di diminuire l’aliquota </w:t>
      </w:r>
      <w:r w:rsidRPr="00CE6DE4">
        <w:rPr>
          <w:rFonts w:ascii="Book Antiqua" w:hAnsi="Book Antiqua"/>
        </w:rPr>
        <w:t xml:space="preserve">base </w:t>
      </w:r>
      <w:r w:rsidR="001F49B1" w:rsidRPr="00CE6DE4">
        <w:rPr>
          <w:rFonts w:ascii="Book Antiqua" w:hAnsi="Book Antiqua"/>
        </w:rPr>
        <w:t>d</w:t>
      </w:r>
      <w:r w:rsidR="00DC7A18" w:rsidRPr="00CE6DE4">
        <w:rPr>
          <w:rFonts w:ascii="Book Antiqua" w:hAnsi="Book Antiqua"/>
        </w:rPr>
        <w:t>a</w:t>
      </w:r>
      <w:r w:rsidR="001F49B1" w:rsidRPr="00CE6DE4">
        <w:rPr>
          <w:rFonts w:ascii="Book Antiqua" w:hAnsi="Book Antiqua"/>
        </w:rPr>
        <w:t>llo 0,2 per cento fino allo 0,1 per cento</w:t>
      </w:r>
      <w:r w:rsidR="00B52AD7" w:rsidRPr="00CE6DE4">
        <w:rPr>
          <w:rFonts w:ascii="Book Antiqua" w:hAnsi="Book Antiqua"/>
        </w:rPr>
        <w:t>.</w:t>
      </w:r>
    </w:p>
    <w:p w:rsidR="001F49B1" w:rsidRPr="00CE6DE4" w:rsidRDefault="00B52AD7" w:rsidP="00CE6DE4">
      <w:pPr>
        <w:spacing w:after="120"/>
        <w:jc w:val="both"/>
        <w:rPr>
          <w:rFonts w:ascii="Book Antiqua" w:hAnsi="Book Antiqua"/>
        </w:rPr>
      </w:pPr>
      <w:r w:rsidRPr="00CE6DE4">
        <w:rPr>
          <w:rFonts w:ascii="Book Antiqua" w:hAnsi="Book Antiqua"/>
        </w:rPr>
        <w:t xml:space="preserve">Si precisa </w:t>
      </w:r>
      <w:r w:rsidR="001F49B1" w:rsidRPr="00CE6DE4">
        <w:rPr>
          <w:rFonts w:ascii="Book Antiqua" w:hAnsi="Book Antiqua"/>
        </w:rPr>
        <w:t>inoltre</w:t>
      </w:r>
      <w:r w:rsidRPr="00CE6DE4">
        <w:rPr>
          <w:rFonts w:ascii="Book Antiqua" w:hAnsi="Book Antiqua"/>
        </w:rPr>
        <w:t xml:space="preserve"> che resta</w:t>
      </w:r>
      <w:r w:rsidR="00F53F01">
        <w:rPr>
          <w:rFonts w:ascii="Book Antiqua" w:hAnsi="Book Antiqua"/>
        </w:rPr>
        <w:t xml:space="preserve"> in ogni caso </w:t>
      </w:r>
      <w:r w:rsidR="001F49B1" w:rsidRPr="00CE6DE4">
        <w:rPr>
          <w:rFonts w:ascii="Book Antiqua" w:hAnsi="Book Antiqua"/>
        </w:rPr>
        <w:t>valida l’esenzione per i fabbricati rurali ad uso strumentale ubicati nei comuni classificati montani o parzialmente montani di cui all’elenco dei comuni italiani predisposto dall’Istituto nazionale di statistica (ISTAT), stabilita dall’art. 9, comma 8</w:t>
      </w:r>
      <w:r w:rsidR="00DC7A18" w:rsidRPr="00CE6DE4">
        <w:rPr>
          <w:rFonts w:ascii="Book Antiqua" w:hAnsi="Book Antiqua"/>
        </w:rPr>
        <w:t>, del d.l</w:t>
      </w:r>
      <w:r w:rsidR="001F49B1" w:rsidRPr="00CE6DE4">
        <w:rPr>
          <w:rFonts w:ascii="Book Antiqua" w:hAnsi="Book Antiqua"/>
        </w:rPr>
        <w:t>gs</w:t>
      </w:r>
      <w:r w:rsidR="00DC7A18" w:rsidRPr="00CE6DE4">
        <w:rPr>
          <w:rFonts w:ascii="Book Antiqua" w:hAnsi="Book Antiqua"/>
        </w:rPr>
        <w:t xml:space="preserve">. n. </w:t>
      </w:r>
      <w:r w:rsidR="001F49B1" w:rsidRPr="00CE6DE4">
        <w:rPr>
          <w:rFonts w:ascii="Book Antiqua" w:hAnsi="Book Antiqua"/>
        </w:rPr>
        <w:t xml:space="preserve"> 23</w:t>
      </w:r>
      <w:r w:rsidR="00DC7A18" w:rsidRPr="00CE6DE4">
        <w:rPr>
          <w:rFonts w:ascii="Book Antiqua" w:hAnsi="Book Antiqua"/>
        </w:rPr>
        <w:t xml:space="preserve"> del </w:t>
      </w:r>
      <w:r w:rsidR="001F49B1" w:rsidRPr="00CE6DE4">
        <w:rPr>
          <w:rFonts w:ascii="Book Antiqua" w:hAnsi="Book Antiqua"/>
        </w:rPr>
        <w:t>2011</w:t>
      </w:r>
      <w:r w:rsidRPr="00CE6DE4">
        <w:rPr>
          <w:rFonts w:ascii="Book Antiqua" w:hAnsi="Book Antiqua"/>
        </w:rPr>
        <w:t>.</w:t>
      </w:r>
    </w:p>
    <w:p w:rsidR="00863E87" w:rsidRPr="00CE6DE4" w:rsidRDefault="00CE6DE4" w:rsidP="00CE6DE4">
      <w:pPr>
        <w:pStyle w:val="Titolo3"/>
        <w:spacing w:before="240"/>
        <w:rPr>
          <w:i/>
        </w:rPr>
      </w:pPr>
      <w:r>
        <w:rPr>
          <w:i/>
        </w:rPr>
        <w:t xml:space="preserve">Termini per la deliberazione e la pubblicazione delle variazioni </w:t>
      </w:r>
      <w:r w:rsidR="00863E87" w:rsidRPr="00CE6DE4">
        <w:rPr>
          <w:i/>
        </w:rPr>
        <w:t>dell</w:t>
      </w:r>
      <w:r>
        <w:rPr>
          <w:i/>
        </w:rPr>
        <w:t>e</w:t>
      </w:r>
      <w:r w:rsidR="00863E87" w:rsidRPr="00CE6DE4">
        <w:rPr>
          <w:i/>
        </w:rPr>
        <w:t xml:space="preserve"> aliquote e delle detrazioni</w:t>
      </w:r>
    </w:p>
    <w:p w:rsidR="00863E87" w:rsidRPr="00CE6DE4" w:rsidRDefault="006B7126" w:rsidP="00CE6DE4">
      <w:pPr>
        <w:spacing w:after="120"/>
        <w:jc w:val="both"/>
        <w:rPr>
          <w:rFonts w:ascii="Book Antiqua" w:hAnsi="Book Antiqua"/>
        </w:rPr>
      </w:pPr>
      <w:r w:rsidRPr="00CE6DE4">
        <w:rPr>
          <w:rFonts w:ascii="Book Antiqua" w:hAnsi="Book Antiqua"/>
        </w:rPr>
        <w:t>La Circolare n.1/DF esplicativa de</w:t>
      </w:r>
      <w:r w:rsidR="00863E87" w:rsidRPr="00CE6DE4">
        <w:rPr>
          <w:rFonts w:ascii="Book Antiqua" w:hAnsi="Book Antiqua"/>
        </w:rPr>
        <w:t xml:space="preserve">l </w:t>
      </w:r>
      <w:r w:rsidR="00DC7A18" w:rsidRPr="00CE6DE4">
        <w:rPr>
          <w:rFonts w:ascii="Book Antiqua" w:hAnsi="Book Antiqua"/>
        </w:rPr>
        <w:t xml:space="preserve">dl </w:t>
      </w:r>
      <w:r w:rsidR="00863E87" w:rsidRPr="00CE6DE4">
        <w:rPr>
          <w:rFonts w:ascii="Book Antiqua" w:hAnsi="Book Antiqua"/>
        </w:rPr>
        <w:t>8 a</w:t>
      </w:r>
      <w:r w:rsidR="00DB01D7" w:rsidRPr="00CE6DE4">
        <w:rPr>
          <w:rFonts w:ascii="Book Antiqua" w:hAnsi="Book Antiqua"/>
        </w:rPr>
        <w:t>p</w:t>
      </w:r>
      <w:r w:rsidR="00617F5B" w:rsidRPr="00CE6DE4">
        <w:rPr>
          <w:rFonts w:ascii="Book Antiqua" w:hAnsi="Book Antiqua"/>
        </w:rPr>
        <w:t>rile 2013</w:t>
      </w:r>
      <w:r w:rsidR="00DC7A18" w:rsidRPr="00CE6DE4">
        <w:rPr>
          <w:rFonts w:ascii="Book Antiqua" w:hAnsi="Book Antiqua"/>
        </w:rPr>
        <w:t xml:space="preserve">, n. 35 </w:t>
      </w:r>
      <w:r w:rsidR="00617F5B" w:rsidRPr="00CE6DE4">
        <w:rPr>
          <w:rFonts w:ascii="Book Antiqua" w:hAnsi="Book Antiqua"/>
        </w:rPr>
        <w:t>(</w:t>
      </w:r>
      <w:r w:rsidR="00863E87" w:rsidRPr="00CE6DE4">
        <w:rPr>
          <w:rFonts w:ascii="Book Antiqua" w:hAnsi="Book Antiqua"/>
        </w:rPr>
        <w:t xml:space="preserve">in corso di </w:t>
      </w:r>
      <w:r w:rsidR="00F767C1" w:rsidRPr="00CE6DE4">
        <w:rPr>
          <w:rFonts w:ascii="Book Antiqua" w:hAnsi="Book Antiqua"/>
        </w:rPr>
        <w:t>esame parlamentare</w:t>
      </w:r>
      <w:r w:rsidR="00DC7A18" w:rsidRPr="00CE6DE4">
        <w:rPr>
          <w:rFonts w:ascii="Book Antiqua" w:hAnsi="Book Antiqua"/>
        </w:rPr>
        <w:t>)</w:t>
      </w:r>
      <w:r w:rsidR="00863E87" w:rsidRPr="00CE6DE4">
        <w:rPr>
          <w:rFonts w:ascii="Book Antiqua" w:hAnsi="Book Antiqua"/>
        </w:rPr>
        <w:t xml:space="preserve">, </w:t>
      </w:r>
      <w:r w:rsidRPr="00CE6DE4">
        <w:rPr>
          <w:rFonts w:ascii="Book Antiqua" w:hAnsi="Book Antiqua"/>
        </w:rPr>
        <w:t>riporta</w:t>
      </w:r>
      <w:r w:rsidR="00DC7A18" w:rsidRPr="00CE6DE4">
        <w:rPr>
          <w:rFonts w:ascii="Book Antiqua" w:hAnsi="Book Antiqua"/>
        </w:rPr>
        <w:t>,</w:t>
      </w:r>
      <w:r w:rsidRPr="00CE6DE4">
        <w:rPr>
          <w:rFonts w:ascii="Book Antiqua" w:hAnsi="Book Antiqua"/>
        </w:rPr>
        <w:t xml:space="preserve"> tra le altre questioni, anche le rilevanti </w:t>
      </w:r>
      <w:r w:rsidR="00863E87" w:rsidRPr="00CE6DE4">
        <w:rPr>
          <w:rFonts w:ascii="Book Antiqua" w:hAnsi="Book Antiqua"/>
        </w:rPr>
        <w:t>novità</w:t>
      </w:r>
      <w:r w:rsidR="001C29D7" w:rsidRPr="00CE6DE4">
        <w:rPr>
          <w:rFonts w:ascii="Book Antiqua" w:hAnsi="Book Antiqua"/>
        </w:rPr>
        <w:t xml:space="preserve"> </w:t>
      </w:r>
      <w:r w:rsidR="00DC7A18" w:rsidRPr="00CE6DE4">
        <w:rPr>
          <w:rFonts w:ascii="Book Antiqua" w:hAnsi="Book Antiqua"/>
        </w:rPr>
        <w:t>in materia di termini di deliberazione delle aliquote e dei regolamenti dell’IMU</w:t>
      </w:r>
      <w:r w:rsidR="00E3224F" w:rsidRPr="00CE6DE4">
        <w:rPr>
          <w:rFonts w:ascii="Book Antiqua" w:hAnsi="Book Antiqua"/>
        </w:rPr>
        <w:t>. Viene rimosso, come è noto</w:t>
      </w:r>
      <w:r w:rsidR="00DC7A18" w:rsidRPr="00CE6DE4">
        <w:rPr>
          <w:rFonts w:ascii="Book Antiqua" w:hAnsi="Book Antiqua"/>
        </w:rPr>
        <w:t xml:space="preserve">, il precedente obbligo di comunicazione al Mef dei provvedimenti in tale materia, ai fini della pubblicazione, entro il termine del 23 aprile, </w:t>
      </w:r>
      <w:r w:rsidR="00CE6DE4">
        <w:rPr>
          <w:rFonts w:ascii="Book Antiqua" w:hAnsi="Book Antiqua"/>
        </w:rPr>
        <w:t xml:space="preserve">pena la generale inefficacia dei provvedimenti, </w:t>
      </w:r>
      <w:r w:rsidR="00DC7A18" w:rsidRPr="00CE6DE4">
        <w:rPr>
          <w:rFonts w:ascii="Book Antiqua" w:hAnsi="Book Antiqua"/>
        </w:rPr>
        <w:t xml:space="preserve">di cui </w:t>
      </w:r>
      <w:r w:rsidR="00CE6DE4">
        <w:rPr>
          <w:rFonts w:ascii="Book Antiqua" w:hAnsi="Book Antiqua"/>
        </w:rPr>
        <w:t xml:space="preserve">era </w:t>
      </w:r>
      <w:r w:rsidR="00DC7A18" w:rsidRPr="00CE6DE4">
        <w:rPr>
          <w:rFonts w:ascii="Book Antiqua" w:hAnsi="Book Antiqua"/>
        </w:rPr>
        <w:t>apparsa evidente l’incongruità anche alla luce della proroga al 30 giugno dei termini del bilancio di previsione 2013</w:t>
      </w:r>
      <w:r w:rsidR="001C29D7" w:rsidRPr="00CE6DE4">
        <w:rPr>
          <w:rFonts w:ascii="Book Antiqua" w:hAnsi="Book Antiqua"/>
        </w:rPr>
        <w:t>.</w:t>
      </w:r>
    </w:p>
    <w:p w:rsidR="00E3224F" w:rsidRPr="00CE6DE4" w:rsidRDefault="001C29D7" w:rsidP="00CE6DE4">
      <w:pPr>
        <w:spacing w:after="120"/>
        <w:jc w:val="both"/>
        <w:rPr>
          <w:rFonts w:ascii="Book Antiqua" w:hAnsi="Book Antiqua"/>
        </w:rPr>
      </w:pPr>
      <w:r w:rsidRPr="00CE6DE4">
        <w:rPr>
          <w:rFonts w:ascii="Book Antiqua" w:hAnsi="Book Antiqua"/>
        </w:rPr>
        <w:t xml:space="preserve">L’articolo 10, comma 4 lett. b) del decreto citato, </w:t>
      </w:r>
      <w:r w:rsidR="00E3224F" w:rsidRPr="00CE6DE4">
        <w:rPr>
          <w:rFonts w:ascii="Book Antiqua" w:hAnsi="Book Antiqua"/>
        </w:rPr>
        <w:t xml:space="preserve">sostituisce il comma 13-bis, art. 13, del dl 201, </w:t>
      </w:r>
      <w:r w:rsidRPr="00CE6DE4">
        <w:rPr>
          <w:rFonts w:ascii="Book Antiqua" w:hAnsi="Book Antiqua"/>
        </w:rPr>
        <w:t xml:space="preserve">introducendo un dispositivo speciale </w:t>
      </w:r>
      <w:r w:rsidR="00E3224F" w:rsidRPr="00CE6DE4">
        <w:rPr>
          <w:rFonts w:ascii="Book Antiqua" w:hAnsi="Book Antiqua"/>
        </w:rPr>
        <w:t xml:space="preserve">più coerente con la legislazione ordinaria, </w:t>
      </w:r>
      <w:r w:rsidRPr="00CE6DE4">
        <w:rPr>
          <w:rFonts w:ascii="Book Antiqua" w:hAnsi="Book Antiqua"/>
        </w:rPr>
        <w:t xml:space="preserve">in ordine </w:t>
      </w:r>
      <w:r w:rsidR="00E3224F" w:rsidRPr="00CE6DE4">
        <w:rPr>
          <w:rFonts w:ascii="Book Antiqua" w:hAnsi="Book Antiqua"/>
        </w:rPr>
        <w:t xml:space="preserve">alle condizioni </w:t>
      </w:r>
      <w:r w:rsidRPr="00CE6DE4">
        <w:rPr>
          <w:rFonts w:ascii="Book Antiqua" w:hAnsi="Book Antiqua"/>
        </w:rPr>
        <w:t>di efficacia delle delibere di variazione della disciplina dell’IMU</w:t>
      </w:r>
      <w:r w:rsidR="00E3224F" w:rsidRPr="00CE6DE4">
        <w:rPr>
          <w:rFonts w:ascii="Book Antiqua" w:hAnsi="Book Antiqua"/>
        </w:rPr>
        <w:t>.</w:t>
      </w:r>
    </w:p>
    <w:p w:rsidR="00E3224F" w:rsidRPr="00CE6DE4" w:rsidRDefault="00E3224F" w:rsidP="00CE6DE4">
      <w:pPr>
        <w:spacing w:after="120"/>
        <w:jc w:val="both"/>
        <w:rPr>
          <w:rFonts w:ascii="Book Antiqua" w:hAnsi="Book Antiqua"/>
        </w:rPr>
      </w:pPr>
      <w:r w:rsidRPr="00CE6DE4">
        <w:rPr>
          <w:rFonts w:ascii="Book Antiqua" w:hAnsi="Book Antiqua"/>
        </w:rPr>
        <w:t>Viene in primo luogo ripristinato il termine ordinario per le deliberazioni in questione, come stabilito dal comma 169 della legge finanziaria per il 2007 (l. 296/2006)</w:t>
      </w:r>
      <w:r w:rsidR="00815B67" w:rsidRPr="00CE6DE4">
        <w:rPr>
          <w:rFonts w:ascii="Book Antiqua" w:hAnsi="Book Antiqua"/>
        </w:rPr>
        <w:t>: la data prevista da norme statali per la deliberazione del bilancio di previsione</w:t>
      </w:r>
      <w:r w:rsidRPr="00CE6DE4">
        <w:rPr>
          <w:rFonts w:ascii="Book Antiqua" w:hAnsi="Book Antiqua"/>
        </w:rPr>
        <w:t>.</w:t>
      </w:r>
    </w:p>
    <w:p w:rsidR="001C29D7" w:rsidRPr="00CE6DE4" w:rsidRDefault="00E3224F" w:rsidP="00CE6DE4">
      <w:pPr>
        <w:spacing w:after="120"/>
        <w:jc w:val="both"/>
        <w:rPr>
          <w:rFonts w:ascii="Book Antiqua" w:hAnsi="Book Antiqua"/>
        </w:rPr>
      </w:pPr>
      <w:r w:rsidRPr="00CE6DE4">
        <w:rPr>
          <w:rFonts w:ascii="Book Antiqua" w:hAnsi="Book Antiqua"/>
        </w:rPr>
        <w:t xml:space="preserve">Inoltre, </w:t>
      </w:r>
      <w:r w:rsidR="001C29D7" w:rsidRPr="00CE6DE4">
        <w:rPr>
          <w:rFonts w:ascii="Book Antiqua" w:hAnsi="Book Antiqua"/>
        </w:rPr>
        <w:t xml:space="preserve">per ciò che riguarda la pubblicazione, la nuova disposizione ha confermato l’obbligo di invio telematico delle delibere </w:t>
      </w:r>
      <w:r w:rsidRPr="00CE6DE4">
        <w:rPr>
          <w:rFonts w:ascii="Book Antiqua" w:hAnsi="Book Antiqua"/>
        </w:rPr>
        <w:t>al Mef per la pubblicazione sul “Portale del federalismo fiscale”</w:t>
      </w:r>
      <w:r w:rsidR="001C29D7" w:rsidRPr="00CE6DE4">
        <w:rPr>
          <w:rFonts w:ascii="Book Antiqua" w:hAnsi="Book Antiqua"/>
        </w:rPr>
        <w:t>, definendone l’efficacia, distintamente, con riferimento al calcolo dell’acconto e</w:t>
      </w:r>
      <w:r w:rsidRPr="00CE6DE4">
        <w:rPr>
          <w:rFonts w:ascii="Book Antiqua" w:hAnsi="Book Antiqua"/>
        </w:rPr>
        <w:t xml:space="preserve"> dell’imposta dovuta per l</w:t>
      </w:r>
      <w:r w:rsidR="001C29D7" w:rsidRPr="00CE6DE4">
        <w:rPr>
          <w:rFonts w:ascii="Book Antiqua" w:hAnsi="Book Antiqua"/>
        </w:rPr>
        <w:t>’intero anno.</w:t>
      </w:r>
    </w:p>
    <w:p w:rsidR="001C29D7" w:rsidRPr="00CE6DE4" w:rsidRDefault="001C29D7" w:rsidP="00CE6DE4">
      <w:pPr>
        <w:spacing w:after="120"/>
        <w:jc w:val="both"/>
        <w:rPr>
          <w:rFonts w:ascii="Book Antiqua" w:hAnsi="Book Antiqua"/>
        </w:rPr>
      </w:pPr>
      <w:r w:rsidRPr="00CE6DE4">
        <w:rPr>
          <w:rFonts w:ascii="Book Antiqua" w:hAnsi="Book Antiqua"/>
          <w:i/>
        </w:rPr>
        <w:t>Il pagamento dell’IMU in acconto</w:t>
      </w:r>
      <w:r w:rsidRPr="00CE6DE4">
        <w:rPr>
          <w:rFonts w:ascii="Book Antiqua" w:hAnsi="Book Antiqua"/>
        </w:rPr>
        <w:t xml:space="preserve"> deve essere eseguito tenendo conto degli atti pubblicati nel predetto sito, alla data del 16 maggio di ciascun anno di imposta. A tale fine il Comune deve inviare</w:t>
      </w:r>
      <w:r w:rsidR="00E439C5" w:rsidRPr="00CE6DE4">
        <w:rPr>
          <w:rFonts w:ascii="Book Antiqua" w:hAnsi="Book Antiqua"/>
        </w:rPr>
        <w:t xml:space="preserve"> al </w:t>
      </w:r>
      <w:r w:rsidR="00F53F01">
        <w:rPr>
          <w:rFonts w:ascii="Book Antiqua" w:hAnsi="Book Antiqua"/>
        </w:rPr>
        <w:t>Mef</w:t>
      </w:r>
      <w:r w:rsidRPr="00CE6DE4">
        <w:rPr>
          <w:rFonts w:ascii="Book Antiqua" w:hAnsi="Book Antiqua"/>
        </w:rPr>
        <w:t xml:space="preserve"> i provvedimenti entro il 9 mag</w:t>
      </w:r>
      <w:r w:rsidR="00E3224F" w:rsidRPr="00CE6DE4">
        <w:rPr>
          <w:rFonts w:ascii="Book Antiqua" w:hAnsi="Book Antiqua"/>
        </w:rPr>
        <w:t xml:space="preserve">gio. </w:t>
      </w:r>
      <w:r w:rsidR="00E3224F" w:rsidRPr="00CE6DE4">
        <w:rPr>
          <w:rFonts w:ascii="Book Antiqua" w:hAnsi="Book Antiqua"/>
          <w:b/>
        </w:rPr>
        <w:t>Tal</w:t>
      </w:r>
      <w:r w:rsidR="00815B67" w:rsidRPr="00CE6DE4">
        <w:rPr>
          <w:rFonts w:ascii="Book Antiqua" w:hAnsi="Book Antiqua"/>
          <w:b/>
        </w:rPr>
        <w:t>e</w:t>
      </w:r>
      <w:r w:rsidR="00E3224F" w:rsidRPr="00CE6DE4">
        <w:rPr>
          <w:rFonts w:ascii="Book Antiqua" w:hAnsi="Book Antiqua"/>
          <w:b/>
        </w:rPr>
        <w:t xml:space="preserve"> termin</w:t>
      </w:r>
      <w:r w:rsidR="00815B67" w:rsidRPr="00CE6DE4">
        <w:rPr>
          <w:rFonts w:ascii="Book Antiqua" w:hAnsi="Book Antiqua"/>
          <w:b/>
        </w:rPr>
        <w:t>e</w:t>
      </w:r>
      <w:r w:rsidR="00E3224F" w:rsidRPr="00CE6DE4">
        <w:rPr>
          <w:rFonts w:ascii="Book Antiqua" w:hAnsi="Book Antiqua"/>
          <w:b/>
        </w:rPr>
        <w:t xml:space="preserve"> condiziona</w:t>
      </w:r>
      <w:r w:rsidR="00815B67" w:rsidRPr="00CE6DE4">
        <w:rPr>
          <w:rFonts w:ascii="Book Antiqua" w:hAnsi="Book Antiqua"/>
          <w:b/>
        </w:rPr>
        <w:t xml:space="preserve"> </w:t>
      </w:r>
      <w:r w:rsidRPr="00CE6DE4">
        <w:rPr>
          <w:rFonts w:ascii="Book Antiqua" w:hAnsi="Book Antiqua"/>
          <w:b/>
        </w:rPr>
        <w:t>soltanto il calcolo degli acconti</w:t>
      </w:r>
      <w:r w:rsidRPr="00CE6DE4">
        <w:rPr>
          <w:rFonts w:ascii="Book Antiqua" w:hAnsi="Book Antiqua"/>
        </w:rPr>
        <w:t xml:space="preserve">, mentre ritorna in vigore il termine ordinario di validità delle </w:t>
      </w:r>
      <w:r w:rsidRPr="00CE6DE4">
        <w:rPr>
          <w:rFonts w:ascii="Book Antiqua" w:hAnsi="Book Antiqua"/>
        </w:rPr>
        <w:lastRenderedPageBreak/>
        <w:t>deliberazioni comunali correlato alla data di deliberazione del bilancio di previsione (attualmente il 30 giugno 2013).</w:t>
      </w:r>
    </w:p>
    <w:p w:rsidR="001C29D7" w:rsidRPr="00CE6DE4" w:rsidRDefault="001C29D7" w:rsidP="00CE6DE4">
      <w:pPr>
        <w:spacing w:after="120"/>
        <w:jc w:val="both"/>
        <w:rPr>
          <w:rFonts w:ascii="Book Antiqua" w:hAnsi="Book Antiqua"/>
        </w:rPr>
      </w:pPr>
      <w:r w:rsidRPr="00CE6DE4">
        <w:rPr>
          <w:rFonts w:ascii="Book Antiqua" w:hAnsi="Book Antiqua"/>
        </w:rPr>
        <w:t xml:space="preserve">La modifica introdotta aggiunge </w:t>
      </w:r>
      <w:r w:rsidR="00F767C1" w:rsidRPr="00CE6DE4">
        <w:rPr>
          <w:rFonts w:ascii="Book Antiqua" w:hAnsi="Book Antiqua"/>
        </w:rPr>
        <w:t xml:space="preserve">però </w:t>
      </w:r>
      <w:r w:rsidRPr="00CE6DE4">
        <w:rPr>
          <w:rFonts w:ascii="Book Antiqua" w:hAnsi="Book Antiqua"/>
        </w:rPr>
        <w:t xml:space="preserve">un ulteriore termine, che condiziona la complessiva efficacia delle deliberazioni comunali. Ai fini dell’applicabilità delle modifiche deliberate, infatti, il provvedimento deve </w:t>
      </w:r>
      <w:r w:rsidR="00F767C1" w:rsidRPr="00CE6DE4">
        <w:rPr>
          <w:rFonts w:ascii="Book Antiqua" w:hAnsi="Book Antiqua"/>
        </w:rPr>
        <w:t>risultare</w:t>
      </w:r>
      <w:r w:rsidRPr="00CE6DE4">
        <w:rPr>
          <w:rFonts w:ascii="Book Antiqua" w:hAnsi="Book Antiqua"/>
        </w:rPr>
        <w:t xml:space="preserve"> pubblicato sul sito Mef alla data del 16 novembre. A tal fine l’invio da parte dei Comuni deve avvenire, </w:t>
      </w:r>
      <w:r w:rsidR="00F767C1" w:rsidRPr="00CE6DE4">
        <w:rPr>
          <w:rFonts w:ascii="Book Antiqua" w:hAnsi="Book Antiqua"/>
        </w:rPr>
        <w:t>non oltre</w:t>
      </w:r>
      <w:r w:rsidRPr="00CE6DE4">
        <w:rPr>
          <w:rFonts w:ascii="Book Antiqua" w:hAnsi="Book Antiqua"/>
        </w:rPr>
        <w:t xml:space="preserve"> il 9 novembre.</w:t>
      </w:r>
    </w:p>
    <w:p w:rsidR="00815B67" w:rsidRPr="00CE6DE4" w:rsidRDefault="001C29D7" w:rsidP="00CE6DE4">
      <w:pPr>
        <w:spacing w:after="120"/>
        <w:jc w:val="both"/>
        <w:rPr>
          <w:rFonts w:ascii="Book Antiqua" w:hAnsi="Book Antiqua"/>
        </w:rPr>
      </w:pPr>
      <w:r w:rsidRPr="00CE6DE4">
        <w:rPr>
          <w:rFonts w:ascii="Book Antiqua" w:hAnsi="Book Antiqua"/>
        </w:rPr>
        <w:t>Pertanto, il mancato invio delle variazioni entro il 9 maggio determina soltanto la non applicabilità delle variazioni stesse al momento dell’acconto IMU di giugno</w:t>
      </w:r>
      <w:r w:rsidR="00F767C1" w:rsidRPr="00CE6DE4">
        <w:rPr>
          <w:rFonts w:ascii="Book Antiqua" w:hAnsi="Book Antiqua"/>
        </w:rPr>
        <w:t>, fermo restando l’obbligo di conguaglio degli importi dovuti per effetto delle variazioni deliberate al momento del saldo</w:t>
      </w:r>
      <w:r w:rsidRPr="00CE6DE4">
        <w:rPr>
          <w:rFonts w:ascii="Book Antiqua" w:hAnsi="Book Antiqua"/>
        </w:rPr>
        <w:t>.</w:t>
      </w:r>
      <w:r w:rsidRPr="00CE6DE4">
        <w:rPr>
          <w:rFonts w:ascii="Book Antiqua" w:hAnsi="Book Antiqua"/>
          <w:b/>
        </w:rPr>
        <w:t xml:space="preserve"> L’eventuale mancato invio </w:t>
      </w:r>
      <w:r w:rsidR="00F767C1" w:rsidRPr="00CE6DE4">
        <w:rPr>
          <w:rFonts w:ascii="Book Antiqua" w:hAnsi="Book Antiqua"/>
          <w:b/>
        </w:rPr>
        <w:t xml:space="preserve">in pubblicazione </w:t>
      </w:r>
      <w:r w:rsidRPr="00CE6DE4">
        <w:rPr>
          <w:rFonts w:ascii="Book Antiqua" w:hAnsi="Book Antiqua"/>
          <w:b/>
        </w:rPr>
        <w:t>entro il 9 novembre costituisce invece motivo di inapplicabilità generale</w:t>
      </w:r>
      <w:r w:rsidR="00815B67" w:rsidRPr="00CE6DE4">
        <w:rPr>
          <w:rFonts w:ascii="Book Antiqua" w:hAnsi="Book Antiqua"/>
          <w:b/>
        </w:rPr>
        <w:t xml:space="preserve"> </w:t>
      </w:r>
      <w:r w:rsidR="00F767C1" w:rsidRPr="00CE6DE4">
        <w:rPr>
          <w:rFonts w:ascii="Book Antiqua" w:hAnsi="Book Antiqua"/>
          <w:b/>
        </w:rPr>
        <w:t xml:space="preserve"> delle variazioni (anche se validamente deliberate)</w:t>
      </w:r>
      <w:r w:rsidR="00815B67" w:rsidRPr="00CE6DE4">
        <w:rPr>
          <w:rFonts w:ascii="Book Antiqua" w:hAnsi="Book Antiqua"/>
          <w:b/>
        </w:rPr>
        <w:t xml:space="preserve">. </w:t>
      </w:r>
      <w:r w:rsidR="00815B67" w:rsidRPr="001516B4">
        <w:rPr>
          <w:rFonts w:ascii="Book Antiqua" w:hAnsi="Book Antiqua"/>
        </w:rPr>
        <w:t>In tal caso si applicherà la disciplina comunque</w:t>
      </w:r>
      <w:r w:rsidR="00815B67" w:rsidRPr="00CE6DE4">
        <w:rPr>
          <w:rFonts w:ascii="Book Antiqua" w:hAnsi="Book Antiqua"/>
          <w:b/>
        </w:rPr>
        <w:t xml:space="preserve"> </w:t>
      </w:r>
      <w:r w:rsidRPr="00CE6DE4">
        <w:rPr>
          <w:rFonts w:ascii="Book Antiqua" w:hAnsi="Book Antiqua"/>
        </w:rPr>
        <w:t>risultante dagli atti comunali pubblicati dal Mef alla data del 16 novembre di ciascun anno</w:t>
      </w:r>
      <w:r w:rsidR="00815B67" w:rsidRPr="00CE6DE4">
        <w:rPr>
          <w:rFonts w:ascii="Book Antiqua" w:hAnsi="Book Antiqua"/>
        </w:rPr>
        <w:t xml:space="preserve"> (quella relativa all’anno precedente, o, in assenza, quella di base stabilita dalla legge)</w:t>
      </w:r>
      <w:r w:rsidRPr="00CE6DE4">
        <w:rPr>
          <w:rFonts w:ascii="Book Antiqua" w:hAnsi="Book Antiqua"/>
        </w:rPr>
        <w:t>.</w:t>
      </w:r>
      <w:r w:rsidR="00E439C5" w:rsidRPr="00CE6DE4">
        <w:rPr>
          <w:rFonts w:ascii="Book Antiqua" w:hAnsi="Book Antiqua"/>
        </w:rPr>
        <w:t xml:space="preserve"> </w:t>
      </w:r>
      <w:r w:rsidR="00815B67" w:rsidRPr="00CE6DE4">
        <w:rPr>
          <w:rFonts w:ascii="Book Antiqua" w:hAnsi="Book Antiqua"/>
        </w:rPr>
        <w:t xml:space="preserve"> </w:t>
      </w:r>
    </w:p>
    <w:p w:rsidR="00E3224F" w:rsidRPr="00CE6DE4" w:rsidRDefault="00815B67" w:rsidP="00CE6DE4">
      <w:pPr>
        <w:spacing w:after="120"/>
        <w:jc w:val="both"/>
        <w:rPr>
          <w:rFonts w:ascii="Book Antiqua" w:hAnsi="Book Antiqua"/>
        </w:rPr>
      </w:pPr>
      <w:r w:rsidRPr="00CE6DE4">
        <w:rPr>
          <w:rFonts w:ascii="Book Antiqua" w:hAnsi="Book Antiqua"/>
        </w:rPr>
        <w:t>Viene inoltre previsto che i Comuni inseriscano nel sito del Mef i contenuti delle deliberazioni (aliquot</w:t>
      </w:r>
      <w:r w:rsidR="002C691A" w:rsidRPr="00CE6DE4">
        <w:rPr>
          <w:rFonts w:ascii="Book Antiqua" w:hAnsi="Book Antiqua"/>
        </w:rPr>
        <w:t>e, detrazioni e condizioni di agevolazione o penalizzazione), sulla base di un modello da stabilirsi a cura del Mef, “sentita l’ANCI”.</w:t>
      </w:r>
    </w:p>
    <w:p w:rsidR="00E439C5" w:rsidRPr="00CE6DE4" w:rsidRDefault="00E439C5" w:rsidP="00CE6DE4">
      <w:pPr>
        <w:pStyle w:val="Titolo3"/>
        <w:spacing w:before="240"/>
        <w:rPr>
          <w:i/>
        </w:rPr>
      </w:pPr>
      <w:r w:rsidRPr="00CE6DE4">
        <w:rPr>
          <w:i/>
        </w:rPr>
        <w:t>Assegnazione della casa coniugale</w:t>
      </w:r>
    </w:p>
    <w:p w:rsidR="00E439C5" w:rsidRPr="00CE6DE4" w:rsidRDefault="00252611" w:rsidP="00CE6DE4">
      <w:pPr>
        <w:keepNext/>
        <w:spacing w:after="120"/>
        <w:jc w:val="both"/>
        <w:rPr>
          <w:rFonts w:ascii="Book Antiqua" w:hAnsi="Book Antiqua"/>
        </w:rPr>
      </w:pPr>
      <w:r w:rsidRPr="00CE6DE4">
        <w:rPr>
          <w:rFonts w:ascii="Book Antiqua" w:hAnsi="Book Antiqua"/>
        </w:rPr>
        <w:t>Come noto, la locuzione contenuta nell’a</w:t>
      </w:r>
      <w:r w:rsidR="006A1293" w:rsidRPr="00CE6DE4">
        <w:rPr>
          <w:rFonts w:ascii="Book Antiqua" w:hAnsi="Book Antiqua"/>
        </w:rPr>
        <w:t>rt.4, co 12-</w:t>
      </w:r>
      <w:r w:rsidRPr="00CE6DE4">
        <w:rPr>
          <w:rFonts w:ascii="Book Antiqua" w:hAnsi="Book Antiqua"/>
          <w:i/>
        </w:rPr>
        <w:t>quinquies</w:t>
      </w:r>
      <w:r w:rsidRPr="00CE6DE4">
        <w:rPr>
          <w:rFonts w:ascii="Book Antiqua" w:hAnsi="Book Antiqua"/>
        </w:rPr>
        <w:t xml:space="preserve"> del dl 16 del 2012, prevede che ai soli fini dell’applicazione dell’IMU, l’assegnazione  della casa coniugale disposta dal giudice a seguito di separazione legale, annullamento, scioglimento o cessazione degli effetti civili del matrimonio, si intende effettuata</w:t>
      </w:r>
      <w:r w:rsidR="00A54D37" w:rsidRPr="00CE6DE4">
        <w:rPr>
          <w:rFonts w:ascii="Book Antiqua" w:hAnsi="Book Antiqua"/>
        </w:rPr>
        <w:t xml:space="preserve"> “</w:t>
      </w:r>
      <w:r w:rsidRPr="00CE6DE4">
        <w:rPr>
          <w:rFonts w:ascii="Book Antiqua" w:hAnsi="Book Antiqua"/>
          <w:b/>
          <w:i/>
        </w:rPr>
        <w:t>in ogni caso</w:t>
      </w:r>
      <w:r w:rsidR="00A54D37" w:rsidRPr="00CE6DE4">
        <w:rPr>
          <w:rFonts w:ascii="Book Antiqua" w:hAnsi="Book Antiqua"/>
          <w:b/>
        </w:rPr>
        <w:t>”</w:t>
      </w:r>
      <w:r w:rsidRPr="00CE6DE4">
        <w:rPr>
          <w:rFonts w:ascii="Book Antiqua" w:hAnsi="Book Antiqua"/>
        </w:rPr>
        <w:t xml:space="preserve"> a titolo di diritto di abitazione.</w:t>
      </w:r>
    </w:p>
    <w:p w:rsidR="00252611" w:rsidRPr="00CE6DE4" w:rsidRDefault="00252611" w:rsidP="00CE6DE4">
      <w:pPr>
        <w:spacing w:after="120"/>
        <w:jc w:val="both"/>
        <w:rPr>
          <w:rFonts w:ascii="Book Antiqua" w:hAnsi="Book Antiqua"/>
        </w:rPr>
      </w:pPr>
      <w:r w:rsidRPr="00CE6DE4">
        <w:rPr>
          <w:rFonts w:ascii="Book Antiqua" w:hAnsi="Book Antiqua"/>
        </w:rPr>
        <w:t>La Risoluzione n.5 interviene a chiarire che l’espressione “in ogni caso”</w:t>
      </w:r>
      <w:r w:rsidR="00A54D37" w:rsidRPr="00CE6DE4">
        <w:rPr>
          <w:rFonts w:ascii="Book Antiqua" w:hAnsi="Book Antiqua"/>
        </w:rPr>
        <w:t xml:space="preserve"> </w:t>
      </w:r>
      <w:r w:rsidRPr="00CE6DE4">
        <w:rPr>
          <w:rFonts w:ascii="Book Antiqua" w:hAnsi="Book Antiqua"/>
        </w:rPr>
        <w:t xml:space="preserve">debba riferirsi </w:t>
      </w:r>
      <w:r w:rsidR="006A1293" w:rsidRPr="00CE6DE4">
        <w:rPr>
          <w:rFonts w:ascii="Book Antiqua" w:hAnsi="Book Antiqua"/>
        </w:rPr>
        <w:t>a tutti i casi</w:t>
      </w:r>
      <w:r w:rsidRPr="00CE6DE4">
        <w:rPr>
          <w:rFonts w:ascii="Book Antiqua" w:hAnsi="Book Antiqua"/>
        </w:rPr>
        <w:t xml:space="preserve"> in cui il legislatore non sia intervenuto a disciplinare diversamente talune fattispecie, come è il caso ad esempio dell’art. 6 della legge 27 luglio 1978, n. 392, il quale prevede che “</w:t>
      </w:r>
      <w:r w:rsidRPr="00CE6DE4">
        <w:rPr>
          <w:rFonts w:ascii="Book Antiqua" w:hAnsi="Book Antiqua"/>
          <w:i/>
        </w:rPr>
        <w:t>in caso di separazione giudiziale, di scioglimento del matrimonio o di cessazione degli effetti civili dello stesso, nel contratto di locazione succede al conduttore l’altro coniuge, se il diritto di abitare nella casa familiare sia stato attribuito dal giudice a quest’ultimo</w:t>
      </w:r>
      <w:r w:rsidRPr="00CE6DE4">
        <w:rPr>
          <w:rFonts w:ascii="Book Antiqua" w:hAnsi="Book Antiqua"/>
        </w:rPr>
        <w:t>”.</w:t>
      </w:r>
    </w:p>
    <w:p w:rsidR="009A3594" w:rsidRPr="00CE6DE4" w:rsidRDefault="00252611" w:rsidP="00CE6DE4">
      <w:pPr>
        <w:spacing w:after="120"/>
        <w:jc w:val="both"/>
        <w:rPr>
          <w:rFonts w:ascii="Book Antiqua" w:hAnsi="Book Antiqua"/>
        </w:rPr>
      </w:pPr>
      <w:r w:rsidRPr="00CE6DE4">
        <w:rPr>
          <w:rFonts w:ascii="Book Antiqua" w:hAnsi="Book Antiqua"/>
        </w:rPr>
        <w:t>In questa ipotesi, infatti, il legislatore ha previsto direttamente la successione nel contratto di locazione da parte del coniuge assegnatario, il quale, pertanto, utilizza l’immobile sulla base di un titolo giuridico diverso da quello del diritto reale di abitazione previsto, invece</w:t>
      </w:r>
      <w:r w:rsidR="009A3594" w:rsidRPr="00CE6DE4">
        <w:rPr>
          <w:rFonts w:ascii="Book Antiqua" w:hAnsi="Book Antiqua"/>
        </w:rPr>
        <w:t xml:space="preserve"> dal </w:t>
      </w:r>
      <w:r w:rsidRPr="00CE6DE4">
        <w:rPr>
          <w:rFonts w:ascii="Book Antiqua" w:hAnsi="Book Antiqua"/>
        </w:rPr>
        <w:t xml:space="preserve"> comma 12-</w:t>
      </w:r>
      <w:r w:rsidRPr="00CE6DE4">
        <w:rPr>
          <w:rFonts w:ascii="Book Antiqua" w:hAnsi="Book Antiqua"/>
          <w:i/>
        </w:rPr>
        <w:t>quinquies</w:t>
      </w:r>
      <w:r w:rsidRPr="00CE6DE4">
        <w:rPr>
          <w:rFonts w:ascii="Book Antiqua" w:hAnsi="Book Antiqua"/>
        </w:rPr>
        <w:t xml:space="preserve"> </w:t>
      </w:r>
      <w:r w:rsidR="009A3594" w:rsidRPr="00CE6DE4">
        <w:rPr>
          <w:rFonts w:ascii="Book Antiqua" w:hAnsi="Book Antiqua"/>
        </w:rPr>
        <w:t xml:space="preserve"> citato.</w:t>
      </w:r>
    </w:p>
    <w:p w:rsidR="00252611" w:rsidRPr="00CE6DE4" w:rsidRDefault="00252611" w:rsidP="00CE6DE4">
      <w:pPr>
        <w:spacing w:after="120"/>
        <w:jc w:val="both"/>
        <w:rPr>
          <w:rFonts w:ascii="Book Antiqua" w:hAnsi="Book Antiqua"/>
        </w:rPr>
      </w:pPr>
      <w:r w:rsidRPr="00CE6DE4">
        <w:rPr>
          <w:rFonts w:ascii="Book Antiqua" w:hAnsi="Book Antiqua"/>
        </w:rPr>
        <w:t>Tali considerazioni</w:t>
      </w:r>
      <w:r w:rsidR="00EF018C" w:rsidRPr="00CE6DE4">
        <w:rPr>
          <w:rFonts w:ascii="Book Antiqua" w:hAnsi="Book Antiqua"/>
        </w:rPr>
        <w:t xml:space="preserve">, ad avviso del </w:t>
      </w:r>
      <w:r w:rsidR="00F53F01">
        <w:rPr>
          <w:rFonts w:ascii="Book Antiqua" w:hAnsi="Book Antiqua"/>
        </w:rPr>
        <w:t>Mef</w:t>
      </w:r>
      <w:r w:rsidR="00EF018C" w:rsidRPr="00CE6DE4">
        <w:rPr>
          <w:rFonts w:ascii="Book Antiqua" w:hAnsi="Book Antiqua"/>
        </w:rPr>
        <w:t>,</w:t>
      </w:r>
      <w:r w:rsidRPr="00CE6DE4">
        <w:rPr>
          <w:rFonts w:ascii="Book Antiqua" w:hAnsi="Book Antiqua"/>
        </w:rPr>
        <w:t xml:space="preserve"> portano alla conclusione che quest’ultima disposizione opera solo nei casi in cui l’immobile assegnato sia di proprietà, interamente o pro-quota, del coniuge non assegnatario e in quello in cui lo stesso immobile sia stato concesso in comodato</w:t>
      </w:r>
      <w:r w:rsidR="009A3594" w:rsidRPr="00CE6DE4">
        <w:rPr>
          <w:rFonts w:ascii="Book Antiqua" w:hAnsi="Book Antiqua"/>
        </w:rPr>
        <w:t xml:space="preserve">, escludendosi il caso della </w:t>
      </w:r>
      <w:r w:rsidRPr="00CE6DE4">
        <w:rPr>
          <w:rFonts w:ascii="Book Antiqua" w:hAnsi="Book Antiqua"/>
        </w:rPr>
        <w:t>locazione.</w:t>
      </w:r>
    </w:p>
    <w:p w:rsidR="00EF018C" w:rsidRPr="00CE6DE4" w:rsidRDefault="00EF018C" w:rsidP="00CE6DE4">
      <w:pPr>
        <w:spacing w:after="120"/>
        <w:jc w:val="both"/>
        <w:rPr>
          <w:rFonts w:ascii="Book Antiqua" w:hAnsi="Book Antiqua"/>
        </w:rPr>
      </w:pPr>
      <w:r w:rsidRPr="00CE6DE4">
        <w:rPr>
          <w:rFonts w:ascii="Book Antiqua" w:hAnsi="Book Antiqua"/>
        </w:rPr>
        <w:t xml:space="preserve">Ad avviso di IFEL, questa interpretazione non appare </w:t>
      </w:r>
      <w:r w:rsidR="00E61CD1" w:rsidRPr="00CE6DE4">
        <w:rPr>
          <w:rFonts w:ascii="Book Antiqua" w:hAnsi="Book Antiqua"/>
        </w:rPr>
        <w:t xml:space="preserve">integralmente </w:t>
      </w:r>
      <w:r w:rsidRPr="00CE6DE4">
        <w:rPr>
          <w:rFonts w:ascii="Book Antiqua" w:hAnsi="Book Antiqua"/>
        </w:rPr>
        <w:t>condivisibile perché anche in caso di comodato il giudice della separazione nell’assegnare l’abitazione, ai sensi dell’art. 155-</w:t>
      </w:r>
      <w:r w:rsidRPr="00CE6DE4">
        <w:rPr>
          <w:rFonts w:ascii="Book Antiqua" w:hAnsi="Book Antiqua"/>
          <w:i/>
        </w:rPr>
        <w:t>quater</w:t>
      </w:r>
      <w:r w:rsidRPr="00CE6DE4">
        <w:rPr>
          <w:rFonts w:ascii="Book Antiqua" w:hAnsi="Book Antiqua"/>
        </w:rPr>
        <w:t xml:space="preserve"> </w:t>
      </w:r>
      <w:r w:rsidR="00E61CD1" w:rsidRPr="00CE6DE4">
        <w:rPr>
          <w:rFonts w:ascii="Book Antiqua" w:hAnsi="Book Antiqua"/>
        </w:rPr>
        <w:t>C</w:t>
      </w:r>
      <w:r w:rsidRPr="00CE6DE4">
        <w:rPr>
          <w:rFonts w:ascii="Book Antiqua" w:hAnsi="Book Antiqua"/>
        </w:rPr>
        <w:t>od. civ</w:t>
      </w:r>
      <w:r w:rsidR="00E61CD1" w:rsidRPr="00CE6DE4">
        <w:rPr>
          <w:rFonts w:ascii="Book Antiqua" w:hAnsi="Book Antiqua"/>
        </w:rPr>
        <w:t>.</w:t>
      </w:r>
      <w:r w:rsidRPr="00CE6DE4">
        <w:rPr>
          <w:rFonts w:ascii="Book Antiqua" w:hAnsi="Book Antiqua"/>
        </w:rPr>
        <w:t>, non attribuisce un diritto reale di abitazione, ma un diritto personale di godimento atipico</w:t>
      </w:r>
      <w:r w:rsidR="009A3594" w:rsidRPr="00CE6DE4">
        <w:rPr>
          <w:rFonts w:ascii="Book Antiqua" w:hAnsi="Book Antiqua"/>
        </w:rPr>
        <w:t>,</w:t>
      </w:r>
      <w:r w:rsidRPr="00CE6DE4">
        <w:rPr>
          <w:rFonts w:ascii="Book Antiqua" w:hAnsi="Book Antiqua"/>
        </w:rPr>
        <w:t xml:space="preserve"> attraverso il quale si legittima la continuazione a residenza </w:t>
      </w:r>
      <w:r w:rsidRPr="00CE6DE4">
        <w:rPr>
          <w:rFonts w:ascii="Book Antiqua" w:hAnsi="Book Antiqua"/>
        </w:rPr>
        <w:lastRenderedPageBreak/>
        <w:t xml:space="preserve">famigliare dell’abitazione, prevedendo, al pari del contratto di locazione, una successione </w:t>
      </w:r>
      <w:r w:rsidRPr="00CE6DE4">
        <w:rPr>
          <w:rFonts w:ascii="Book Antiqua" w:hAnsi="Book Antiqua"/>
          <w:i/>
        </w:rPr>
        <w:t>ex lege</w:t>
      </w:r>
      <w:r w:rsidRPr="00CE6DE4">
        <w:rPr>
          <w:rFonts w:ascii="Book Antiqua" w:hAnsi="Book Antiqua"/>
        </w:rPr>
        <w:t xml:space="preserve"> del coniuge assegnatario nell’originario rapporto di comodato.</w:t>
      </w:r>
    </w:p>
    <w:p w:rsidR="00EF018C" w:rsidRPr="00CE6DE4" w:rsidRDefault="00EF018C" w:rsidP="00CE6DE4">
      <w:pPr>
        <w:spacing w:after="120"/>
        <w:jc w:val="both"/>
        <w:rPr>
          <w:rFonts w:ascii="Book Antiqua" w:hAnsi="Book Antiqua"/>
        </w:rPr>
      </w:pPr>
      <w:r w:rsidRPr="00CE6DE4">
        <w:rPr>
          <w:rFonts w:ascii="Book Antiqua" w:hAnsi="Book Antiqua"/>
        </w:rPr>
        <w:t>In altri termini,</w:t>
      </w:r>
      <w:r w:rsidR="00E61CD1" w:rsidRPr="00CE6DE4">
        <w:rPr>
          <w:rFonts w:ascii="Book Antiqua" w:hAnsi="Book Antiqua"/>
        </w:rPr>
        <w:t xml:space="preserve"> fatta salva l’opportunità di una migliore specificazione della norma primaria, </w:t>
      </w:r>
      <w:r w:rsidRPr="00CE6DE4">
        <w:rPr>
          <w:rFonts w:ascii="Book Antiqua" w:hAnsi="Book Antiqua"/>
        </w:rPr>
        <w:t>la previsione di cui all’art. 4, comma 12-</w:t>
      </w:r>
      <w:r w:rsidRPr="00CE6DE4">
        <w:rPr>
          <w:rFonts w:ascii="Book Antiqua" w:hAnsi="Book Antiqua"/>
          <w:i/>
        </w:rPr>
        <w:t>quinquies</w:t>
      </w:r>
      <w:r w:rsidRPr="00CE6DE4">
        <w:rPr>
          <w:rFonts w:ascii="Book Antiqua" w:hAnsi="Book Antiqua"/>
        </w:rPr>
        <w:t xml:space="preserve"> del </w:t>
      </w:r>
      <w:r w:rsidR="00E61CD1" w:rsidRPr="00CE6DE4">
        <w:rPr>
          <w:rFonts w:ascii="Book Antiqua" w:hAnsi="Book Antiqua"/>
        </w:rPr>
        <w:t xml:space="preserve">dl </w:t>
      </w:r>
      <w:r w:rsidRPr="00CE6DE4">
        <w:rPr>
          <w:rFonts w:ascii="Book Antiqua" w:hAnsi="Book Antiqua"/>
        </w:rPr>
        <w:t xml:space="preserve">n. 16 del 2012, </w:t>
      </w:r>
      <w:r w:rsidR="00E61CD1" w:rsidRPr="00CE6DE4">
        <w:rPr>
          <w:rFonts w:ascii="Book Antiqua" w:hAnsi="Book Antiqua"/>
        </w:rPr>
        <w:t xml:space="preserve">sembra da intendersi </w:t>
      </w:r>
      <w:r w:rsidRPr="00CE6DE4">
        <w:rPr>
          <w:rFonts w:ascii="Book Antiqua" w:hAnsi="Book Antiqua"/>
        </w:rPr>
        <w:t>nel senso che essa dispone una sostituzione del soggetto passivo che subisce una limitazione della proprietà, operante solo nei casi in cui l’immobile assegnato sia di proprietà, interamente o pro-quota, del coniuge non assegnatario.</w:t>
      </w:r>
    </w:p>
    <w:p w:rsidR="00E61CD1" w:rsidRPr="00CE6DE4" w:rsidRDefault="00E61CD1" w:rsidP="00CE6DE4">
      <w:pPr>
        <w:spacing w:after="120"/>
        <w:jc w:val="both"/>
      </w:pPr>
    </w:p>
    <w:p w:rsidR="00617F5B" w:rsidRPr="00F53F01" w:rsidRDefault="00617F5B" w:rsidP="00CE6DE4">
      <w:pPr>
        <w:pStyle w:val="Titolo2"/>
        <w:spacing w:before="360"/>
        <w:rPr>
          <w:smallCaps/>
          <w:sz w:val="24"/>
          <w:szCs w:val="22"/>
        </w:rPr>
      </w:pPr>
      <w:r w:rsidRPr="00F53F01">
        <w:rPr>
          <w:smallCaps/>
          <w:sz w:val="24"/>
          <w:szCs w:val="22"/>
        </w:rPr>
        <w:t>Tares</w:t>
      </w:r>
    </w:p>
    <w:p w:rsidR="00863E87" w:rsidRPr="00CE6DE4" w:rsidRDefault="003B2A53" w:rsidP="00CE6DE4">
      <w:pPr>
        <w:keepNext/>
        <w:keepLines/>
        <w:spacing w:after="120"/>
        <w:jc w:val="both"/>
        <w:rPr>
          <w:rFonts w:ascii="Book Antiqua" w:hAnsi="Book Antiqua"/>
        </w:rPr>
      </w:pPr>
      <w:r w:rsidRPr="00CE6DE4">
        <w:rPr>
          <w:rFonts w:ascii="Book Antiqua" w:hAnsi="Book Antiqua"/>
        </w:rPr>
        <w:t>Sul nuovo tributo, la Circolare n.1/DF interviene a chiarire una serie di quesiti che vertono sulle nuove disposizioni dettate dal decreto legge n.35</w:t>
      </w:r>
      <w:r w:rsidR="00E61CD1" w:rsidRPr="00CE6DE4">
        <w:rPr>
          <w:rFonts w:ascii="Book Antiqua" w:hAnsi="Book Antiqua"/>
        </w:rPr>
        <w:t>, con particolare riferimento a:</w:t>
      </w:r>
    </w:p>
    <w:p w:rsidR="00C50B0C" w:rsidRPr="00CE6DE4" w:rsidRDefault="00E61CD1" w:rsidP="00CE6DE4">
      <w:pPr>
        <w:pStyle w:val="Paragrafoelenco"/>
        <w:keepNext/>
        <w:keepLines/>
        <w:numPr>
          <w:ilvl w:val="0"/>
          <w:numId w:val="1"/>
        </w:numPr>
        <w:spacing w:after="120"/>
        <w:jc w:val="both"/>
        <w:rPr>
          <w:rFonts w:ascii="Book Antiqua" w:hAnsi="Book Antiqua"/>
        </w:rPr>
      </w:pPr>
      <w:r w:rsidRPr="00CE6DE4">
        <w:rPr>
          <w:rFonts w:ascii="Book Antiqua" w:hAnsi="Book Antiqua"/>
        </w:rPr>
        <w:t>s</w:t>
      </w:r>
      <w:r w:rsidR="00C50B0C" w:rsidRPr="00CE6DE4">
        <w:rPr>
          <w:rFonts w:ascii="Book Antiqua" w:hAnsi="Book Antiqua"/>
        </w:rPr>
        <w:t>cadenza e numero delle rate di versamento del tributo, con particolare riferimento all’organo competente a deliberare;</w:t>
      </w:r>
    </w:p>
    <w:p w:rsidR="00C50B0C" w:rsidRPr="00CE6DE4" w:rsidRDefault="00E61CD1" w:rsidP="00CE6DE4">
      <w:pPr>
        <w:pStyle w:val="Paragrafoelenco"/>
        <w:keepNext/>
        <w:keepLines/>
        <w:numPr>
          <w:ilvl w:val="0"/>
          <w:numId w:val="1"/>
        </w:numPr>
        <w:spacing w:after="120"/>
        <w:jc w:val="both"/>
        <w:rPr>
          <w:rFonts w:ascii="Book Antiqua" w:hAnsi="Book Antiqua"/>
        </w:rPr>
      </w:pPr>
      <w:r w:rsidRPr="00CE6DE4">
        <w:rPr>
          <w:rFonts w:ascii="Book Antiqua" w:hAnsi="Book Antiqua"/>
        </w:rPr>
        <w:t>v</w:t>
      </w:r>
      <w:r w:rsidR="00C50B0C" w:rsidRPr="00CE6DE4">
        <w:rPr>
          <w:rFonts w:ascii="Book Antiqua" w:hAnsi="Book Antiqua"/>
        </w:rPr>
        <w:t>ersamento dell’acconto in base ai modelli di pagamento già predisposti in</w:t>
      </w:r>
      <w:r w:rsidR="005E6B63" w:rsidRPr="00CE6DE4">
        <w:rPr>
          <w:rFonts w:ascii="Book Antiqua" w:hAnsi="Book Antiqua"/>
        </w:rPr>
        <w:t xml:space="preserve"> vigenza dei precedenti regimi T</w:t>
      </w:r>
      <w:r w:rsidR="00C50B0C" w:rsidRPr="00CE6DE4">
        <w:rPr>
          <w:rFonts w:ascii="Book Antiqua" w:hAnsi="Book Antiqua"/>
        </w:rPr>
        <w:t>arsu, TIA1 e TIA2</w:t>
      </w:r>
      <w:r w:rsidR="005E6B63" w:rsidRPr="00CE6DE4">
        <w:rPr>
          <w:rFonts w:ascii="Book Antiqua" w:hAnsi="Book Antiqua"/>
        </w:rPr>
        <w:t xml:space="preserve"> e v</w:t>
      </w:r>
      <w:r w:rsidR="00C50B0C" w:rsidRPr="00CE6DE4">
        <w:rPr>
          <w:rFonts w:ascii="Book Antiqua" w:hAnsi="Book Antiqua"/>
        </w:rPr>
        <w:t>ersamento della maggiorazione standard di 0,30 euro per metro quadro;</w:t>
      </w:r>
    </w:p>
    <w:p w:rsidR="00C50B0C" w:rsidRPr="00CE6DE4" w:rsidRDefault="00E61CD1" w:rsidP="00CE6DE4">
      <w:pPr>
        <w:pStyle w:val="Paragrafoelenco"/>
        <w:keepNext/>
        <w:keepLines/>
        <w:numPr>
          <w:ilvl w:val="0"/>
          <w:numId w:val="1"/>
        </w:numPr>
        <w:spacing w:after="120"/>
        <w:jc w:val="both"/>
        <w:rPr>
          <w:rFonts w:ascii="Book Antiqua" w:hAnsi="Book Antiqua"/>
        </w:rPr>
      </w:pPr>
      <w:r w:rsidRPr="00CE6DE4">
        <w:rPr>
          <w:rFonts w:ascii="Book Antiqua" w:hAnsi="Book Antiqua"/>
        </w:rPr>
        <w:t>p</w:t>
      </w:r>
      <w:r w:rsidR="00C50B0C" w:rsidRPr="00CE6DE4">
        <w:rPr>
          <w:rFonts w:ascii="Book Antiqua" w:hAnsi="Book Antiqua"/>
        </w:rPr>
        <w:t>ossibilità per i Comuni di continuare ad avvalersi per la riscossione del tributo dei soggetti affidatari del servizio di gestione dei rifiuti urbani;</w:t>
      </w:r>
    </w:p>
    <w:p w:rsidR="00C50B0C" w:rsidRPr="00CE6DE4" w:rsidRDefault="00553545" w:rsidP="00CE6DE4">
      <w:pPr>
        <w:spacing w:after="120"/>
        <w:jc w:val="both"/>
        <w:rPr>
          <w:rFonts w:ascii="Book Antiqua" w:hAnsi="Book Antiqua"/>
        </w:rPr>
      </w:pPr>
      <w:r w:rsidRPr="00CE6DE4">
        <w:rPr>
          <w:rFonts w:ascii="Book Antiqua" w:hAnsi="Book Antiqua"/>
        </w:rPr>
        <w:t>La nota del Mef commenta inoltre la modifica del comma 4, art. 14, del dl 201/2011, che introduce l’</w:t>
      </w:r>
      <w:r w:rsidR="00E61CD1" w:rsidRPr="00CE6DE4">
        <w:rPr>
          <w:rFonts w:ascii="Book Antiqua" w:hAnsi="Book Antiqua"/>
        </w:rPr>
        <w:t>e</w:t>
      </w:r>
      <w:r w:rsidR="00C50B0C" w:rsidRPr="00CE6DE4">
        <w:rPr>
          <w:rFonts w:ascii="Book Antiqua" w:hAnsi="Book Antiqua"/>
        </w:rPr>
        <w:t xml:space="preserve">sclusione dalla tassazione delle aree scoperte pertinenziali </w:t>
      </w:r>
      <w:r w:rsidRPr="00CE6DE4">
        <w:rPr>
          <w:rFonts w:ascii="Book Antiqua" w:hAnsi="Book Antiqua"/>
        </w:rPr>
        <w:t>o accessorie dei</w:t>
      </w:r>
      <w:r w:rsidR="005E6B63" w:rsidRPr="00CE6DE4">
        <w:rPr>
          <w:rFonts w:ascii="Book Antiqua" w:hAnsi="Book Antiqua"/>
        </w:rPr>
        <w:t xml:space="preserve"> locali divers</w:t>
      </w:r>
      <w:r w:rsidR="00C50B0C" w:rsidRPr="00CE6DE4">
        <w:rPr>
          <w:rFonts w:ascii="Book Antiqua" w:hAnsi="Book Antiqua"/>
        </w:rPr>
        <w:t>i dalle abitazioni.</w:t>
      </w:r>
      <w:r w:rsidRPr="00CE6DE4">
        <w:rPr>
          <w:rFonts w:ascii="Book Antiqua" w:hAnsi="Book Antiqua"/>
        </w:rPr>
        <w:t xml:space="preserve"> Tale previsione recata da comma 3, articolo 10, del dl 35/2013, ha carattere ordinario e riprende quanto già previsto in materia dalla disciplina Tarsu.  Nella previgente versione dell’articolo 14, l’esclusione era riservata alle sole aree comuni condominiali non detenute o occupate in via esclusiva. </w:t>
      </w:r>
    </w:p>
    <w:p w:rsidR="005E6B63" w:rsidRPr="00CE6DE4" w:rsidRDefault="005E6B63" w:rsidP="00F53F01">
      <w:pPr>
        <w:pStyle w:val="Titolo3"/>
        <w:keepLines w:val="0"/>
        <w:spacing w:before="240"/>
        <w:rPr>
          <w:i/>
        </w:rPr>
      </w:pPr>
      <w:r w:rsidRPr="00CE6DE4">
        <w:rPr>
          <w:i/>
        </w:rPr>
        <w:t>Rate di versamento e organo competente</w:t>
      </w:r>
      <w:r w:rsidR="000A008A" w:rsidRPr="00CE6DE4">
        <w:rPr>
          <w:i/>
        </w:rPr>
        <w:t xml:space="preserve"> a deliberare</w:t>
      </w:r>
    </w:p>
    <w:p w:rsidR="00553545" w:rsidRPr="00CE6DE4" w:rsidRDefault="005E6B63" w:rsidP="00F53F01">
      <w:pPr>
        <w:spacing w:after="120"/>
        <w:jc w:val="both"/>
        <w:rPr>
          <w:rFonts w:ascii="Book Antiqua" w:hAnsi="Book Antiqua"/>
        </w:rPr>
      </w:pPr>
      <w:r w:rsidRPr="00CE6DE4">
        <w:rPr>
          <w:rFonts w:ascii="Book Antiqua" w:hAnsi="Book Antiqua"/>
        </w:rPr>
        <w:t xml:space="preserve">Il </w:t>
      </w:r>
      <w:r w:rsidR="00F53F01">
        <w:rPr>
          <w:rFonts w:ascii="Book Antiqua" w:hAnsi="Book Antiqua"/>
        </w:rPr>
        <w:t>Mef</w:t>
      </w:r>
      <w:r w:rsidRPr="00CE6DE4">
        <w:rPr>
          <w:rFonts w:ascii="Book Antiqua" w:hAnsi="Book Antiqua"/>
        </w:rPr>
        <w:t xml:space="preserve"> chiarisce che in base alla disposizione contenuta nell’art.10, comma 2 </w:t>
      </w:r>
      <w:r w:rsidR="000A008A" w:rsidRPr="00CE6DE4">
        <w:rPr>
          <w:rFonts w:ascii="Book Antiqua" w:hAnsi="Book Antiqua"/>
        </w:rPr>
        <w:t xml:space="preserve">lett.a) </w:t>
      </w:r>
      <w:r w:rsidRPr="00CE6DE4">
        <w:rPr>
          <w:rFonts w:ascii="Book Antiqua" w:hAnsi="Book Antiqua"/>
        </w:rPr>
        <w:t>del</w:t>
      </w:r>
      <w:r w:rsidR="00E35F09" w:rsidRPr="00CE6DE4">
        <w:rPr>
          <w:rFonts w:ascii="Book Antiqua" w:hAnsi="Book Antiqua"/>
        </w:rPr>
        <w:t xml:space="preserve"> decreto legge n.35, </w:t>
      </w:r>
      <w:r w:rsidRPr="00CE6DE4">
        <w:rPr>
          <w:rFonts w:ascii="Book Antiqua" w:hAnsi="Book Antiqua"/>
        </w:rPr>
        <w:t>i Comuni potranno decidere, con deliberazione adottata dal Consiglio comunale, il numero e la scadenza delle rate Tares</w:t>
      </w:r>
      <w:r w:rsidR="00E35F09" w:rsidRPr="00CE6DE4">
        <w:rPr>
          <w:rFonts w:ascii="Book Antiqua" w:hAnsi="Book Antiqua"/>
        </w:rPr>
        <w:t xml:space="preserve"> da pubblicarsi </w:t>
      </w:r>
      <w:r w:rsidR="00553545" w:rsidRPr="00CE6DE4">
        <w:rPr>
          <w:rFonts w:ascii="Book Antiqua" w:hAnsi="Book Antiqua"/>
        </w:rPr>
        <w:t xml:space="preserve">anche </w:t>
      </w:r>
      <w:r w:rsidR="00E35F09" w:rsidRPr="00CE6DE4">
        <w:rPr>
          <w:rFonts w:ascii="Book Antiqua" w:hAnsi="Book Antiqua"/>
        </w:rPr>
        <w:t>sul sito istituzionale dell’ente almeno trenta giorni prima della data di versamento</w:t>
      </w:r>
      <w:r w:rsidRPr="00CE6DE4">
        <w:rPr>
          <w:rFonts w:ascii="Book Antiqua" w:hAnsi="Book Antiqua"/>
        </w:rPr>
        <w:t xml:space="preserve">. </w:t>
      </w:r>
      <w:r w:rsidR="00553545" w:rsidRPr="00CE6DE4">
        <w:rPr>
          <w:rFonts w:ascii="Book Antiqua" w:hAnsi="Book Antiqua"/>
        </w:rPr>
        <w:t>Tale disposizione permette</w:t>
      </w:r>
      <w:r w:rsidR="009A56AE" w:rsidRPr="00CE6DE4">
        <w:rPr>
          <w:rFonts w:ascii="Book Antiqua" w:hAnsi="Book Antiqua"/>
        </w:rPr>
        <w:t>,</w:t>
      </w:r>
      <w:r w:rsidR="00553545" w:rsidRPr="00CE6DE4">
        <w:rPr>
          <w:rFonts w:ascii="Book Antiqua" w:hAnsi="Book Antiqua"/>
        </w:rPr>
        <w:t xml:space="preserve"> eccezionalmente per il 2013</w:t>
      </w:r>
      <w:r w:rsidR="009A56AE" w:rsidRPr="00CE6DE4">
        <w:rPr>
          <w:rFonts w:ascii="Book Antiqua" w:hAnsi="Book Antiqua"/>
        </w:rPr>
        <w:t>,</w:t>
      </w:r>
      <w:r w:rsidR="00553545" w:rsidRPr="00CE6DE4">
        <w:rPr>
          <w:rFonts w:ascii="Book Antiqua" w:hAnsi="Book Antiqua"/>
        </w:rPr>
        <w:t xml:space="preserve"> di determinare scadenze di pagamento “</w:t>
      </w:r>
      <w:r w:rsidR="00553545" w:rsidRPr="00CE6DE4">
        <w:rPr>
          <w:rFonts w:ascii="Book Antiqua" w:hAnsi="Book Antiqua"/>
          <w:i/>
        </w:rPr>
        <w:t>anche nelle more della regolamentazione comunale del nuovo tributo”</w:t>
      </w:r>
    </w:p>
    <w:p w:rsidR="005E6B63" w:rsidRPr="00CE6DE4" w:rsidRDefault="005E6B63" w:rsidP="00F53F01">
      <w:pPr>
        <w:spacing w:after="120"/>
        <w:jc w:val="both"/>
        <w:rPr>
          <w:rFonts w:ascii="Book Antiqua" w:hAnsi="Book Antiqua"/>
        </w:rPr>
      </w:pPr>
      <w:r w:rsidRPr="00CE6DE4">
        <w:rPr>
          <w:rFonts w:ascii="Book Antiqua" w:hAnsi="Book Antiqua"/>
        </w:rPr>
        <w:t>In caso di mancata delibera</w:t>
      </w:r>
      <w:r w:rsidR="00E35F09" w:rsidRPr="00CE6DE4">
        <w:rPr>
          <w:rFonts w:ascii="Book Antiqua" w:hAnsi="Book Antiqua"/>
        </w:rPr>
        <w:t>,</w:t>
      </w:r>
      <w:r w:rsidRPr="00CE6DE4">
        <w:rPr>
          <w:rFonts w:ascii="Book Antiqua" w:hAnsi="Book Antiqua"/>
        </w:rPr>
        <w:t xml:space="preserve"> il termine per il versamento di queste ultime sarà quello </w:t>
      </w:r>
      <w:r w:rsidR="009A56AE" w:rsidRPr="00CE6DE4">
        <w:rPr>
          <w:rFonts w:ascii="Book Antiqua" w:hAnsi="Book Antiqua"/>
        </w:rPr>
        <w:t>de</w:t>
      </w:r>
      <w:r w:rsidRPr="00CE6DE4">
        <w:rPr>
          <w:rFonts w:ascii="Book Antiqua" w:hAnsi="Book Antiqua"/>
        </w:rPr>
        <w:t>lla disciplina genera</w:t>
      </w:r>
      <w:r w:rsidR="00E35F09" w:rsidRPr="00CE6DE4">
        <w:rPr>
          <w:rFonts w:ascii="Book Antiqua" w:hAnsi="Book Antiqua"/>
        </w:rPr>
        <w:t>le istitutiva del nuovo tributo</w:t>
      </w:r>
      <w:r w:rsidR="009A56AE" w:rsidRPr="00CE6DE4">
        <w:rPr>
          <w:rFonts w:ascii="Book Antiqua" w:hAnsi="Book Antiqua"/>
        </w:rPr>
        <w:t xml:space="preserve"> cioè luglio ed ottobre, come indicato dal</w:t>
      </w:r>
      <w:r w:rsidR="009A56AE" w:rsidRPr="00CE6DE4">
        <w:rPr>
          <w:rFonts w:ascii="Book Antiqua" w:hAnsi="Book Antiqua"/>
          <w:b/>
        </w:rPr>
        <w:t xml:space="preserve"> </w:t>
      </w:r>
      <w:r w:rsidR="00E35F09" w:rsidRPr="00CE6DE4">
        <w:rPr>
          <w:rFonts w:ascii="Book Antiqua" w:hAnsi="Book Antiqua"/>
        </w:rPr>
        <w:t>co</w:t>
      </w:r>
      <w:r w:rsidR="009A56AE" w:rsidRPr="00CE6DE4">
        <w:rPr>
          <w:rFonts w:ascii="Book Antiqua" w:hAnsi="Book Antiqua"/>
        </w:rPr>
        <w:t>mma</w:t>
      </w:r>
      <w:r w:rsidR="00E35F09" w:rsidRPr="00CE6DE4">
        <w:rPr>
          <w:rFonts w:ascii="Book Antiqua" w:hAnsi="Book Antiqua"/>
        </w:rPr>
        <w:t xml:space="preserve"> 35</w:t>
      </w:r>
      <w:r w:rsidR="009A56AE" w:rsidRPr="00CE6DE4">
        <w:rPr>
          <w:rFonts w:ascii="Book Antiqua" w:hAnsi="Book Antiqua"/>
        </w:rPr>
        <w:t>,</w:t>
      </w:r>
      <w:r w:rsidR="00E35F09" w:rsidRPr="00CE6DE4">
        <w:rPr>
          <w:rFonts w:ascii="Book Antiqua" w:hAnsi="Book Antiqua"/>
        </w:rPr>
        <w:t xml:space="preserve"> </w:t>
      </w:r>
      <w:r w:rsidR="009A56AE" w:rsidRPr="00CE6DE4">
        <w:rPr>
          <w:rFonts w:ascii="Book Antiqua" w:hAnsi="Book Antiqua"/>
        </w:rPr>
        <w:t xml:space="preserve">art. 14, dl </w:t>
      </w:r>
      <w:r w:rsidRPr="00CE6DE4">
        <w:rPr>
          <w:rFonts w:ascii="Book Antiqua" w:hAnsi="Book Antiqua"/>
        </w:rPr>
        <w:t>n.201 del 2011</w:t>
      </w:r>
      <w:r w:rsidR="00E35F09" w:rsidRPr="00CE6DE4">
        <w:rPr>
          <w:rFonts w:ascii="Book Antiqua" w:hAnsi="Book Antiqua"/>
        </w:rPr>
        <w:t xml:space="preserve"> </w:t>
      </w:r>
      <w:r w:rsidR="009A56AE" w:rsidRPr="00CE6DE4">
        <w:rPr>
          <w:rFonts w:ascii="Book Antiqua" w:hAnsi="Book Antiqua"/>
        </w:rPr>
        <w:t xml:space="preserve">(come </w:t>
      </w:r>
      <w:r w:rsidR="00E35F09" w:rsidRPr="00CE6DE4">
        <w:rPr>
          <w:rFonts w:ascii="Book Antiqua" w:hAnsi="Book Antiqua"/>
        </w:rPr>
        <w:t>modificat</w:t>
      </w:r>
      <w:r w:rsidR="009A56AE" w:rsidRPr="00CE6DE4">
        <w:rPr>
          <w:rFonts w:ascii="Book Antiqua" w:hAnsi="Book Antiqua"/>
        </w:rPr>
        <w:t>o</w:t>
      </w:r>
      <w:r w:rsidR="00E35F09" w:rsidRPr="00CE6DE4">
        <w:rPr>
          <w:rFonts w:ascii="Book Antiqua" w:hAnsi="Book Antiqua"/>
        </w:rPr>
        <w:t xml:space="preserve"> dall’art.1 del </w:t>
      </w:r>
      <w:r w:rsidR="009A56AE" w:rsidRPr="00CE6DE4">
        <w:rPr>
          <w:rFonts w:ascii="Book Antiqua" w:hAnsi="Book Antiqua"/>
        </w:rPr>
        <w:t xml:space="preserve">dl </w:t>
      </w:r>
      <w:r w:rsidR="00E35F09" w:rsidRPr="00CE6DE4">
        <w:rPr>
          <w:rFonts w:ascii="Book Antiqua" w:hAnsi="Book Antiqua"/>
        </w:rPr>
        <w:t>n.1 del 2013</w:t>
      </w:r>
      <w:r w:rsidR="009A56AE" w:rsidRPr="00CE6DE4">
        <w:rPr>
          <w:rFonts w:ascii="Book Antiqua" w:hAnsi="Book Antiqua"/>
        </w:rPr>
        <w:t>)</w:t>
      </w:r>
      <w:r w:rsidR="00E35F09" w:rsidRPr="00CE6DE4">
        <w:rPr>
          <w:rFonts w:ascii="Book Antiqua" w:hAnsi="Book Antiqua"/>
        </w:rPr>
        <w:t>.</w:t>
      </w:r>
    </w:p>
    <w:p w:rsidR="009A56AE" w:rsidRPr="00CE6DE4" w:rsidRDefault="009A56AE" w:rsidP="00F53F01">
      <w:pPr>
        <w:spacing w:after="120"/>
        <w:jc w:val="both"/>
        <w:rPr>
          <w:rFonts w:ascii="Book Antiqua" w:hAnsi="Book Antiqua"/>
        </w:rPr>
      </w:pPr>
      <w:r w:rsidRPr="00CE6DE4">
        <w:rPr>
          <w:rFonts w:ascii="Book Antiqua" w:hAnsi="Book Antiqua"/>
        </w:rPr>
        <w:t>L’organo competente è stato individuato dasl Mef, in assenza di esplicita diversa indicazione della norma primaria, nel Consiglio comunale, essendo ricompresa tale competenza nelle disposizioni del comma 22, art. 14 del citato dl 201 (“</w:t>
      </w:r>
      <w:r w:rsidRPr="00CE6DE4">
        <w:rPr>
          <w:rFonts w:ascii="Book Antiqua" w:hAnsi="Book Antiqua"/>
          <w:i/>
        </w:rPr>
        <w:t>… il consiglio comunale determina …. e) i termini di presentazione della dichiarazione e di versamento del tributo</w:t>
      </w:r>
      <w:r w:rsidRPr="00CE6DE4">
        <w:rPr>
          <w:rFonts w:ascii="Book Antiqua" w:hAnsi="Book Antiqua"/>
        </w:rPr>
        <w:t xml:space="preserve">.”). </w:t>
      </w:r>
    </w:p>
    <w:p w:rsidR="000A008A" w:rsidRPr="00CE6DE4" w:rsidRDefault="000A008A" w:rsidP="00CE6DE4">
      <w:pPr>
        <w:pStyle w:val="Titolo3"/>
        <w:spacing w:before="240"/>
        <w:rPr>
          <w:i/>
        </w:rPr>
      </w:pPr>
      <w:r w:rsidRPr="00CE6DE4">
        <w:rPr>
          <w:i/>
        </w:rPr>
        <w:lastRenderedPageBreak/>
        <w:t>Versamento dell’acconto e della maggiorazione standard</w:t>
      </w:r>
    </w:p>
    <w:p w:rsidR="00C50B0C" w:rsidRPr="00CE6DE4" w:rsidRDefault="000A008A" w:rsidP="003B569F">
      <w:pPr>
        <w:spacing w:after="120"/>
        <w:jc w:val="both"/>
        <w:rPr>
          <w:rFonts w:ascii="Book Antiqua" w:hAnsi="Book Antiqua"/>
        </w:rPr>
      </w:pPr>
      <w:r w:rsidRPr="00CE6DE4">
        <w:rPr>
          <w:rFonts w:ascii="Book Antiqua" w:hAnsi="Book Antiqua"/>
        </w:rPr>
        <w:t xml:space="preserve">Con la Circolare n.1/DF in commento, Il </w:t>
      </w:r>
      <w:r w:rsidR="00F53F01">
        <w:rPr>
          <w:rFonts w:ascii="Book Antiqua" w:hAnsi="Book Antiqua"/>
        </w:rPr>
        <w:t>Mef</w:t>
      </w:r>
      <w:r w:rsidRPr="00CE6DE4">
        <w:rPr>
          <w:rFonts w:ascii="Book Antiqua" w:hAnsi="Book Antiqua"/>
        </w:rPr>
        <w:t xml:space="preserve"> chiarisce anche che i Comuni potranno far pagare ai contribuenti, almeno</w:t>
      </w:r>
      <w:r w:rsidR="008C5AF1" w:rsidRPr="00CE6DE4">
        <w:rPr>
          <w:rFonts w:ascii="Book Antiqua" w:hAnsi="Book Antiqua"/>
        </w:rPr>
        <w:t xml:space="preserve"> per</w:t>
      </w:r>
      <w:r w:rsidRPr="00CE6DE4">
        <w:rPr>
          <w:rFonts w:ascii="Book Antiqua" w:hAnsi="Book Antiqua"/>
        </w:rPr>
        <w:t xml:space="preserve"> </w:t>
      </w:r>
      <w:r w:rsidR="00AB5ACD" w:rsidRPr="00CE6DE4">
        <w:rPr>
          <w:rFonts w:ascii="Book Antiqua" w:hAnsi="Book Antiqua"/>
        </w:rPr>
        <w:t>le prime rate di acconto</w:t>
      </w:r>
      <w:r w:rsidR="00844625" w:rsidRPr="00CE6DE4">
        <w:rPr>
          <w:rFonts w:ascii="Book Antiqua" w:hAnsi="Book Antiqua"/>
        </w:rPr>
        <w:t>, gli importi relativi all’anno 2012 stabiliti ai fini Tarsu, TIA1 e TIA2, mentre l’ultima rata dovrà necessariamente essere corrisposta sulla base dei nuovi importi del Tares.</w:t>
      </w:r>
    </w:p>
    <w:p w:rsidR="00844625" w:rsidRPr="00CE6DE4" w:rsidRDefault="008C07ED" w:rsidP="003B569F">
      <w:pPr>
        <w:spacing w:after="120"/>
        <w:jc w:val="both"/>
        <w:rPr>
          <w:rFonts w:ascii="Book Antiqua" w:hAnsi="Book Antiqua"/>
        </w:rPr>
      </w:pPr>
      <w:r w:rsidRPr="00CE6DE4">
        <w:rPr>
          <w:rFonts w:ascii="Book Antiqua" w:hAnsi="Book Antiqua"/>
        </w:rPr>
        <w:t>Si ritiene utile chiarire, anche alla luce dei diversi quesiti pervenuti, che</w:t>
      </w:r>
      <w:r w:rsidR="00844625" w:rsidRPr="00CE6DE4">
        <w:rPr>
          <w:rFonts w:ascii="Book Antiqua" w:hAnsi="Book Antiqua"/>
        </w:rPr>
        <w:t xml:space="preserve"> tale disposizione non </w:t>
      </w:r>
      <w:r w:rsidR="001A1DF8" w:rsidRPr="00CE6DE4">
        <w:rPr>
          <w:rFonts w:ascii="Book Antiqua" w:hAnsi="Book Antiqua"/>
        </w:rPr>
        <w:t>impedisce a</w:t>
      </w:r>
      <w:r w:rsidR="00844625" w:rsidRPr="00CE6DE4">
        <w:rPr>
          <w:rFonts w:ascii="Book Antiqua" w:hAnsi="Book Antiqua"/>
        </w:rPr>
        <w:t xml:space="preserve">i Comuni </w:t>
      </w:r>
      <w:r w:rsidRPr="00CE6DE4">
        <w:rPr>
          <w:rFonts w:ascii="Book Antiqua" w:hAnsi="Book Antiqua"/>
        </w:rPr>
        <w:t>che abbiano già approvato il Pia</w:t>
      </w:r>
      <w:r w:rsidR="00844625" w:rsidRPr="00CE6DE4">
        <w:rPr>
          <w:rFonts w:ascii="Book Antiqua" w:hAnsi="Book Antiqua"/>
        </w:rPr>
        <w:t xml:space="preserve">no finanziario, le tariffe ed il regolamento in base </w:t>
      </w:r>
      <w:r w:rsidRPr="00CE6DE4">
        <w:rPr>
          <w:rFonts w:ascii="Book Antiqua" w:hAnsi="Book Antiqua"/>
        </w:rPr>
        <w:t>alla normativa Tares, di applicare</w:t>
      </w:r>
      <w:r w:rsidR="009A56AE" w:rsidRPr="00CE6DE4">
        <w:rPr>
          <w:rFonts w:ascii="Book Antiqua" w:hAnsi="Book Antiqua"/>
        </w:rPr>
        <w:t xml:space="preserve"> tale regolamentazione </w:t>
      </w:r>
      <w:r w:rsidRPr="00CE6DE4">
        <w:rPr>
          <w:rFonts w:ascii="Book Antiqua" w:hAnsi="Book Antiqua"/>
        </w:rPr>
        <w:t xml:space="preserve">già dai pagamenti in acconto, ma </w:t>
      </w:r>
      <w:r w:rsidR="001A1DF8" w:rsidRPr="00CE6DE4">
        <w:rPr>
          <w:rFonts w:ascii="Book Antiqua" w:hAnsi="Book Antiqua"/>
        </w:rPr>
        <w:t xml:space="preserve">attribuisce la </w:t>
      </w:r>
      <w:r w:rsidRPr="00CE6DE4">
        <w:rPr>
          <w:rFonts w:ascii="Book Antiqua" w:hAnsi="Book Antiqua"/>
        </w:rPr>
        <w:t>facoltà di applicare gli importi dell’anno precedente</w:t>
      </w:r>
      <w:r w:rsidR="009A56AE" w:rsidRPr="00CE6DE4">
        <w:rPr>
          <w:rFonts w:ascii="Book Antiqua" w:hAnsi="Book Antiqua"/>
        </w:rPr>
        <w:t xml:space="preserve"> al fine precipuo di snellire l’avvio della riscossione</w:t>
      </w:r>
      <w:r w:rsidRPr="00CE6DE4">
        <w:rPr>
          <w:rFonts w:ascii="Book Antiqua" w:hAnsi="Book Antiqua"/>
        </w:rPr>
        <w:t>.</w:t>
      </w:r>
    </w:p>
    <w:p w:rsidR="008C07ED" w:rsidRPr="00CE6DE4" w:rsidRDefault="008C07ED" w:rsidP="003B569F">
      <w:pPr>
        <w:spacing w:after="120"/>
        <w:jc w:val="both"/>
        <w:rPr>
          <w:rFonts w:ascii="Book Antiqua" w:hAnsi="Book Antiqua"/>
        </w:rPr>
      </w:pPr>
      <w:r w:rsidRPr="00CE6DE4">
        <w:rPr>
          <w:rFonts w:ascii="Book Antiqua" w:hAnsi="Book Antiqua"/>
        </w:rPr>
        <w:t xml:space="preserve">Anche per quanto riguarda i modelli di pagamento previsti per il versamento del nuovo tributo – chiarisce il </w:t>
      </w:r>
      <w:r w:rsidR="00F53F01">
        <w:rPr>
          <w:rFonts w:ascii="Book Antiqua" w:hAnsi="Book Antiqua"/>
        </w:rPr>
        <w:t>Mef</w:t>
      </w:r>
      <w:r w:rsidR="001A1DF8" w:rsidRPr="00CE6DE4">
        <w:rPr>
          <w:rFonts w:ascii="Book Antiqua" w:hAnsi="Book Antiqua"/>
        </w:rPr>
        <w:t xml:space="preserve"> –</w:t>
      </w:r>
      <w:r w:rsidRPr="00CE6DE4">
        <w:rPr>
          <w:rFonts w:ascii="Book Antiqua" w:hAnsi="Book Antiqua"/>
        </w:rPr>
        <w:t>i Comuni sono liberi di utilizzare per le prime rate di acconto quelli predisposti per la corresponsione dei precedenti prelievi</w:t>
      </w:r>
      <w:r w:rsidR="009A56AE" w:rsidRPr="00CE6DE4">
        <w:rPr>
          <w:rFonts w:ascii="Book Antiqua" w:hAnsi="Book Antiqua"/>
        </w:rPr>
        <w:t>,</w:t>
      </w:r>
      <w:r w:rsidRPr="00CE6DE4">
        <w:rPr>
          <w:rFonts w:ascii="Book Antiqua" w:hAnsi="Book Antiqua"/>
        </w:rPr>
        <w:t xml:space="preserve"> oppure i nuovi modelli in via di </w:t>
      </w:r>
      <w:r w:rsidR="008C5AF1" w:rsidRPr="00CE6DE4">
        <w:rPr>
          <w:rFonts w:ascii="Book Antiqua" w:hAnsi="Book Antiqua"/>
        </w:rPr>
        <w:t xml:space="preserve">definizione </w:t>
      </w:r>
      <w:r w:rsidRPr="00CE6DE4">
        <w:rPr>
          <w:rFonts w:ascii="Book Antiqua" w:hAnsi="Book Antiqua"/>
        </w:rPr>
        <w:t xml:space="preserve">per </w:t>
      </w:r>
      <w:r w:rsidR="009A56AE" w:rsidRPr="00CE6DE4">
        <w:rPr>
          <w:rFonts w:ascii="Book Antiqua" w:hAnsi="Book Antiqua"/>
        </w:rPr>
        <w:t xml:space="preserve">i pagamenti </w:t>
      </w:r>
      <w:r w:rsidRPr="00CE6DE4">
        <w:rPr>
          <w:rFonts w:ascii="Book Antiqua" w:hAnsi="Book Antiqua"/>
        </w:rPr>
        <w:t>Tares (F24 o bollettino postale al quale si applicano le disposizioni relative all’F24, per quanto compatibili).</w:t>
      </w:r>
      <w:r w:rsidR="009A56AE" w:rsidRPr="00CE6DE4">
        <w:rPr>
          <w:rFonts w:ascii="Book Antiqua" w:hAnsi="Book Antiqua"/>
        </w:rPr>
        <w:t xml:space="preserve"> Tale possibilità resta tuttavia ancora impedita dalla mancata emanazione dei provvedimenti del Mef e dell’Agenzia delle Entrate </w:t>
      </w:r>
      <w:r w:rsidR="001A1DF8" w:rsidRPr="00CE6DE4">
        <w:rPr>
          <w:rFonts w:ascii="Book Antiqua" w:hAnsi="Book Antiqua"/>
        </w:rPr>
        <w:t>per la definizione dei modelli e dei codici tributo da utilizzare.</w:t>
      </w:r>
    </w:p>
    <w:p w:rsidR="001A1DF8" w:rsidRPr="00CE6DE4" w:rsidRDefault="001A1DF8" w:rsidP="003B569F">
      <w:pPr>
        <w:spacing w:after="120"/>
        <w:jc w:val="both"/>
        <w:rPr>
          <w:rFonts w:ascii="Book Antiqua" w:hAnsi="Book Antiqua"/>
        </w:rPr>
      </w:pPr>
      <w:r w:rsidRPr="00CE6DE4">
        <w:rPr>
          <w:rFonts w:ascii="Book Antiqua" w:hAnsi="Book Antiqua"/>
        </w:rPr>
        <w:t xml:space="preserve">Il </w:t>
      </w:r>
      <w:r w:rsidR="00F53F01">
        <w:rPr>
          <w:rFonts w:ascii="Book Antiqua" w:hAnsi="Book Antiqua"/>
        </w:rPr>
        <w:t>Mef</w:t>
      </w:r>
      <w:r w:rsidRPr="00CE6DE4">
        <w:rPr>
          <w:rFonts w:ascii="Book Antiqua" w:hAnsi="Book Antiqua"/>
        </w:rPr>
        <w:t xml:space="preserve"> precisa che la riserva allo Stato del gettito derivante dalla maggiorazione standard comporta la preclusione per il 2013 della facoltà comunale di elevarla a 0,40 euro, mentre sussiste l’applicabilità ad essa delle agevolazioni previste dall’art. 14 del decreto legge n.201 del 2011.</w:t>
      </w:r>
    </w:p>
    <w:p w:rsidR="004359AC" w:rsidRPr="00CE6DE4" w:rsidRDefault="001A1DF8" w:rsidP="003B569F">
      <w:pPr>
        <w:spacing w:after="120"/>
        <w:jc w:val="both"/>
        <w:rPr>
          <w:rFonts w:ascii="Book Antiqua" w:hAnsi="Book Antiqua"/>
        </w:rPr>
      </w:pPr>
      <w:r w:rsidRPr="00CE6DE4">
        <w:rPr>
          <w:rFonts w:ascii="Book Antiqua" w:hAnsi="Book Antiqua"/>
        </w:rPr>
        <w:t xml:space="preserve">La </w:t>
      </w:r>
      <w:r w:rsidR="008C07ED" w:rsidRPr="00CE6DE4">
        <w:rPr>
          <w:rFonts w:ascii="Book Antiqua" w:hAnsi="Book Antiqua"/>
        </w:rPr>
        <w:t>maggiorazione standard di 0,30 euro al metro quadro</w:t>
      </w:r>
      <w:r w:rsidRPr="00CE6DE4">
        <w:rPr>
          <w:rFonts w:ascii="Book Antiqua" w:hAnsi="Book Antiqua"/>
        </w:rPr>
        <w:t xml:space="preserve"> </w:t>
      </w:r>
      <w:r w:rsidR="004359AC" w:rsidRPr="00CE6DE4">
        <w:rPr>
          <w:rFonts w:ascii="Book Antiqua" w:hAnsi="Book Antiqua"/>
        </w:rPr>
        <w:t xml:space="preserve">dovrà essere pagata </w:t>
      </w:r>
      <w:r w:rsidR="00645B49" w:rsidRPr="00CE6DE4">
        <w:rPr>
          <w:rFonts w:ascii="Book Antiqua" w:hAnsi="Book Antiqua"/>
        </w:rPr>
        <w:t>contestualmente al pagamento dell’ultima rata del tributo</w:t>
      </w:r>
      <w:r w:rsidRPr="00CE6DE4">
        <w:rPr>
          <w:rFonts w:ascii="Book Antiqua" w:hAnsi="Book Antiqua"/>
        </w:rPr>
        <w:t xml:space="preserve">, da effettuarsi </w:t>
      </w:r>
      <w:r w:rsidR="00645B49" w:rsidRPr="00CE6DE4">
        <w:rPr>
          <w:rFonts w:ascii="Book Antiqua" w:hAnsi="Book Antiqua"/>
        </w:rPr>
        <w:t>con F24 o bollettino postale</w:t>
      </w:r>
      <w:r w:rsidRPr="00CE6DE4">
        <w:rPr>
          <w:rFonts w:ascii="Book Antiqua" w:hAnsi="Book Antiqua"/>
        </w:rPr>
        <w:t xml:space="preserve"> apposito</w:t>
      </w:r>
      <w:r w:rsidR="00645B49" w:rsidRPr="00CE6DE4">
        <w:rPr>
          <w:rFonts w:ascii="Book Antiqua" w:hAnsi="Book Antiqua"/>
        </w:rPr>
        <w:t xml:space="preserve">. Resta fermo che </w:t>
      </w:r>
      <w:r w:rsidRPr="00CE6DE4">
        <w:rPr>
          <w:rFonts w:ascii="Book Antiqua" w:hAnsi="Book Antiqua"/>
        </w:rPr>
        <w:t xml:space="preserve">fin dal </w:t>
      </w:r>
      <w:r w:rsidR="00645B49" w:rsidRPr="00CE6DE4">
        <w:rPr>
          <w:rFonts w:ascii="Book Antiqua" w:hAnsi="Book Antiqua"/>
        </w:rPr>
        <w:t xml:space="preserve">2013 i Comuni potranno variare con delibera di Consiglio la scadenza di ottobre ordinariamente prevista dall’art. 14 del dl 201 del 2011. </w:t>
      </w:r>
    </w:p>
    <w:p w:rsidR="004359AC" w:rsidRPr="00CE6DE4" w:rsidRDefault="004359AC" w:rsidP="003B569F">
      <w:pPr>
        <w:spacing w:after="120"/>
        <w:jc w:val="both"/>
        <w:rPr>
          <w:rFonts w:ascii="Book Antiqua" w:hAnsi="Book Antiqua"/>
        </w:rPr>
      </w:pPr>
      <w:r w:rsidRPr="00CE6DE4">
        <w:rPr>
          <w:rFonts w:ascii="Book Antiqua" w:hAnsi="Book Antiqua"/>
        </w:rPr>
        <w:t xml:space="preserve">In sostanza, anche per il 2013 il Comune potrà determinare a propria discrezione il numero e la scadenza delle rate di pagamento. Sono in questo campo ammissibili diverse determinazioni, preferibilmente in continuità con la prassi seguita in precedenza: il pagamento in unica soluzione e in tal caso la scadenza va necessariamente collocata nell’ultimo trimestre dell’anno e il pagamento dovrà avvenire sulla base del modello F24 o del bollettino postale apposito;  il pagamento rateale con scadenze che superano la fine del 2013, </w:t>
      </w:r>
      <w:r w:rsidR="00BF2BBF">
        <w:rPr>
          <w:rFonts w:ascii="Book Antiqua" w:hAnsi="Book Antiqua"/>
        </w:rPr>
        <w:t>i</w:t>
      </w:r>
      <w:r w:rsidRPr="00CE6DE4">
        <w:rPr>
          <w:rFonts w:ascii="Book Antiqua" w:hAnsi="Book Antiqua"/>
        </w:rPr>
        <w:t xml:space="preserve">n tal caso </w:t>
      </w:r>
      <w:r w:rsidR="00E07B22">
        <w:rPr>
          <w:rFonts w:ascii="Book Antiqua" w:hAnsi="Book Antiqua"/>
        </w:rPr>
        <w:t xml:space="preserve">appare ragionevole e coerente con l’impianto generale delle norme sulla riscossione </w:t>
      </w:r>
      <w:r w:rsidRPr="00CE6DE4">
        <w:rPr>
          <w:rFonts w:ascii="Book Antiqua" w:hAnsi="Book Antiqua"/>
        </w:rPr>
        <w:t xml:space="preserve">che </w:t>
      </w:r>
      <w:r w:rsidR="00E07B22" w:rsidRPr="00CE6DE4">
        <w:rPr>
          <w:rFonts w:ascii="Book Antiqua" w:hAnsi="Book Antiqua"/>
        </w:rPr>
        <w:t xml:space="preserve">il regime ordinario F24 </w:t>
      </w:r>
      <w:r w:rsidR="00E07B22">
        <w:rPr>
          <w:rFonts w:ascii="Book Antiqua" w:hAnsi="Book Antiqua"/>
        </w:rPr>
        <w:t xml:space="preserve">si applichi </w:t>
      </w:r>
      <w:r w:rsidRPr="00CE6DE4">
        <w:rPr>
          <w:rFonts w:ascii="Book Antiqua" w:hAnsi="Book Antiqua"/>
        </w:rPr>
        <w:t xml:space="preserve">dall’ultima rata in scadenza nel 2013 </w:t>
      </w:r>
      <w:r w:rsidR="00E07B22">
        <w:rPr>
          <w:rFonts w:ascii="Book Antiqua" w:hAnsi="Book Antiqua"/>
        </w:rPr>
        <w:t xml:space="preserve">in corrispondenza con il </w:t>
      </w:r>
      <w:r w:rsidRPr="00CE6DE4">
        <w:rPr>
          <w:rFonts w:ascii="Book Antiqua" w:hAnsi="Book Antiqua"/>
        </w:rPr>
        <w:t xml:space="preserve">pagamento della maggiorazione. </w:t>
      </w:r>
    </w:p>
    <w:p w:rsidR="004359AC" w:rsidRPr="00CE6DE4" w:rsidRDefault="00FB4253" w:rsidP="003B569F">
      <w:pPr>
        <w:spacing w:after="120"/>
        <w:jc w:val="both"/>
        <w:rPr>
          <w:rFonts w:ascii="Book Antiqua" w:hAnsi="Book Antiqua"/>
        </w:rPr>
      </w:pPr>
      <w:r w:rsidRPr="00CE6DE4">
        <w:rPr>
          <w:rFonts w:ascii="Book Antiqua" w:hAnsi="Book Antiqua"/>
        </w:rPr>
        <w:t>Va altresì segnalato che c</w:t>
      </w:r>
      <w:r w:rsidR="004359AC" w:rsidRPr="00CE6DE4">
        <w:rPr>
          <w:rFonts w:ascii="Book Antiqua" w:hAnsi="Book Antiqua"/>
        </w:rPr>
        <w:t xml:space="preserve">on le modifiche </w:t>
      </w:r>
      <w:r w:rsidRPr="00CE6DE4">
        <w:rPr>
          <w:rFonts w:ascii="Book Antiqua" w:hAnsi="Book Antiqua"/>
        </w:rPr>
        <w:t>del dl 35</w:t>
      </w:r>
      <w:r w:rsidR="004359AC" w:rsidRPr="00CE6DE4">
        <w:rPr>
          <w:rFonts w:ascii="Book Antiqua" w:hAnsi="Book Antiqua"/>
        </w:rPr>
        <w:t xml:space="preserve">, il Tares è entrato comunque formalmente in vigore fin dal 2013 e non è stato previsto alcun rinvio al prossimo anno. Ciò comporta che i pagamenti in acconto richiesti utilizzando i modelli già in uso per la Tarsu o la Tia non potranno comprendere quote accessorie abolite o rese inesigibili con l’abolizione delle previgenti fattispecie di prelievo. </w:t>
      </w:r>
    </w:p>
    <w:p w:rsidR="004359AC" w:rsidRPr="00CE6DE4" w:rsidRDefault="004359AC" w:rsidP="003B569F">
      <w:pPr>
        <w:spacing w:after="120"/>
        <w:jc w:val="both"/>
        <w:rPr>
          <w:rFonts w:ascii="Book Antiqua" w:hAnsi="Book Antiqua"/>
        </w:rPr>
      </w:pPr>
      <w:r w:rsidRPr="00CE6DE4">
        <w:rPr>
          <w:rFonts w:ascii="Book Antiqua" w:hAnsi="Book Antiqua"/>
        </w:rPr>
        <w:t>Si tratta in particolare, nel caso di previgente Tarsu, dell’addizionale ex ECA e</w:t>
      </w:r>
      <w:r w:rsidR="001516B4">
        <w:rPr>
          <w:rFonts w:ascii="Book Antiqua" w:hAnsi="Book Antiqua"/>
        </w:rPr>
        <w:t>,</w:t>
      </w:r>
      <w:r w:rsidRPr="00CE6DE4">
        <w:rPr>
          <w:rFonts w:ascii="Book Antiqua" w:hAnsi="Book Antiqua"/>
        </w:rPr>
        <w:t xml:space="preserve"> nel caso della previgente Tia</w:t>
      </w:r>
      <w:r w:rsidR="001516B4">
        <w:rPr>
          <w:rFonts w:ascii="Book Antiqua" w:hAnsi="Book Antiqua"/>
        </w:rPr>
        <w:t>,</w:t>
      </w:r>
      <w:r w:rsidRPr="00CE6DE4">
        <w:rPr>
          <w:rFonts w:ascii="Book Antiqua" w:hAnsi="Book Antiqua"/>
        </w:rPr>
        <w:t xml:space="preserve"> dell’eventuale IVA applicata alla tariffa richiesta considerata come </w:t>
      </w:r>
      <w:r w:rsidRPr="00CE6DE4">
        <w:rPr>
          <w:rFonts w:ascii="Book Antiqua" w:hAnsi="Book Antiqua"/>
        </w:rPr>
        <w:lastRenderedPageBreak/>
        <w:t>corrispettivo di servizio. Fin dai pagamenti richiesti in acconto, è invece opportuno includere la quota del tributo ambientale provinciale, espressamente mantenuto in vigore dal comma 28, art. 14 del dl 201 del 2011, di cui si può ritenere la continuità rispetto al precedente dispositivo, potendosi quindi considerare le misure del prelievo note al momento dell’emissione dei modelli di pagamento o della scadenza delle prime rate (eventualmente sulla base della misura stabilita per il 2012) ed utilizzando il pagamento dell’ultima rata per l’eventuale conguaglio delle misure 2013 deliberate dalla Provincia.</w:t>
      </w:r>
    </w:p>
    <w:p w:rsidR="00EA548F" w:rsidRPr="00CE6DE4" w:rsidRDefault="00D357AD" w:rsidP="00CE6DE4">
      <w:pPr>
        <w:pStyle w:val="Titolo3"/>
        <w:spacing w:before="240"/>
        <w:rPr>
          <w:i/>
        </w:rPr>
      </w:pPr>
      <w:r w:rsidRPr="00CE6DE4">
        <w:rPr>
          <w:i/>
        </w:rPr>
        <w:t>Riscossione del tributo</w:t>
      </w:r>
    </w:p>
    <w:p w:rsidR="00D357AD" w:rsidRPr="00CE6DE4" w:rsidRDefault="00D357AD" w:rsidP="003B569F">
      <w:pPr>
        <w:spacing w:after="120"/>
        <w:jc w:val="both"/>
        <w:rPr>
          <w:rFonts w:ascii="Book Antiqua" w:hAnsi="Book Antiqua"/>
        </w:rPr>
      </w:pPr>
      <w:r w:rsidRPr="00CE6DE4">
        <w:rPr>
          <w:rFonts w:ascii="Book Antiqua" w:hAnsi="Book Antiqua"/>
        </w:rPr>
        <w:t>Per quanto riguarda la disposizione contenuta nel</w:t>
      </w:r>
      <w:r w:rsidR="00413A10" w:rsidRPr="00CE6DE4">
        <w:rPr>
          <w:rFonts w:ascii="Book Antiqua" w:hAnsi="Book Antiqua"/>
        </w:rPr>
        <w:t>l’art.10 comma 2 lett.g) del</w:t>
      </w:r>
      <w:r w:rsidRPr="00CE6DE4">
        <w:rPr>
          <w:rFonts w:ascii="Book Antiqua" w:hAnsi="Book Antiqua"/>
        </w:rPr>
        <w:t xml:space="preserve"> decreto legge n.35, secondo cui i Comuni possono continuare ad avvalersi per la riscossione</w:t>
      </w:r>
      <w:r w:rsidR="00413A10" w:rsidRPr="00CE6DE4">
        <w:rPr>
          <w:rFonts w:ascii="Book Antiqua" w:hAnsi="Book Antiqua"/>
        </w:rPr>
        <w:t>,</w:t>
      </w:r>
      <w:r w:rsidRPr="00CE6DE4">
        <w:rPr>
          <w:rFonts w:ascii="Book Antiqua" w:hAnsi="Book Antiqua"/>
        </w:rPr>
        <w:t xml:space="preserve"> dei soggetti affidatari del servizio di gestione dei rifiuti urbani, la Circolare n.1</w:t>
      </w:r>
      <w:r w:rsidR="008C5AF1" w:rsidRPr="00CE6DE4">
        <w:rPr>
          <w:rFonts w:ascii="Book Antiqua" w:hAnsi="Book Antiqua"/>
        </w:rPr>
        <w:t>/DF propone</w:t>
      </w:r>
      <w:r w:rsidR="00413A10" w:rsidRPr="00CE6DE4">
        <w:rPr>
          <w:rFonts w:ascii="Book Antiqua" w:hAnsi="Book Antiqua"/>
        </w:rPr>
        <w:t xml:space="preserve"> una lettura </w:t>
      </w:r>
      <w:r w:rsidR="00FB4253" w:rsidRPr="00CE6DE4">
        <w:rPr>
          <w:rFonts w:ascii="Book Antiqua" w:hAnsi="Book Antiqua"/>
        </w:rPr>
        <w:t>estensiva</w:t>
      </w:r>
      <w:r w:rsidR="00E452FE" w:rsidRPr="00CE6DE4">
        <w:rPr>
          <w:rFonts w:ascii="Book Antiqua" w:hAnsi="Book Antiqua"/>
        </w:rPr>
        <w:t xml:space="preserve">, </w:t>
      </w:r>
      <w:r w:rsidR="00FB4253" w:rsidRPr="00CE6DE4">
        <w:rPr>
          <w:rFonts w:ascii="Book Antiqua" w:hAnsi="Book Antiqua"/>
        </w:rPr>
        <w:t xml:space="preserve">considerando la possibilità di attribuire </w:t>
      </w:r>
      <w:r w:rsidR="00E452FE" w:rsidRPr="00CE6DE4">
        <w:rPr>
          <w:rFonts w:ascii="Book Antiqua" w:hAnsi="Book Antiqua"/>
        </w:rPr>
        <w:t xml:space="preserve">direttamente alle aziende di gestione </w:t>
      </w:r>
      <w:r w:rsidR="00FB4253" w:rsidRPr="00CE6DE4">
        <w:rPr>
          <w:rFonts w:ascii="Book Antiqua" w:hAnsi="Book Antiqua"/>
        </w:rPr>
        <w:t xml:space="preserve">del servizio </w:t>
      </w:r>
      <w:r w:rsidR="00E452FE" w:rsidRPr="00CE6DE4">
        <w:rPr>
          <w:rFonts w:ascii="Book Antiqua" w:hAnsi="Book Antiqua"/>
        </w:rPr>
        <w:t>rifiuti</w:t>
      </w:r>
      <w:r w:rsidR="00FB4253" w:rsidRPr="00CE6DE4">
        <w:rPr>
          <w:rFonts w:ascii="Book Antiqua" w:hAnsi="Book Antiqua"/>
        </w:rPr>
        <w:t xml:space="preserve"> l’intero gettito annuale del tributo</w:t>
      </w:r>
      <w:r w:rsidR="00E452FE" w:rsidRPr="00CE6DE4">
        <w:rPr>
          <w:rFonts w:ascii="Book Antiqua" w:hAnsi="Book Antiqua"/>
        </w:rPr>
        <w:t>, previa delibera comunale in tal senso.</w:t>
      </w:r>
    </w:p>
    <w:p w:rsidR="001516B4" w:rsidRDefault="001516B4" w:rsidP="003B569F">
      <w:pPr>
        <w:spacing w:after="120"/>
        <w:jc w:val="both"/>
        <w:rPr>
          <w:rFonts w:ascii="Book Antiqua" w:hAnsi="Book Antiqua"/>
          <w:bCs/>
        </w:rPr>
      </w:pPr>
      <w:r>
        <w:rPr>
          <w:rFonts w:ascii="Book Antiqua" w:hAnsi="Book Antiqua"/>
          <w:bCs/>
        </w:rPr>
        <w:t>Va a questo proposito osservato che la norma “speciale” di cui al dl 35 si limita a confermare che “</w:t>
      </w:r>
      <w:r w:rsidRPr="001516B4">
        <w:rPr>
          <w:rFonts w:ascii="Book Antiqua" w:hAnsi="Book Antiqua" w:cs="Courier"/>
          <w:i/>
        </w:rPr>
        <w:t>i comuni possono continuare ad avvalersi per la riscossione del tributo dei soggetti affidatari del servizio di gestione dei rifiuti urbani</w:t>
      </w:r>
      <w:r>
        <w:rPr>
          <w:rFonts w:ascii="Book Antiqua" w:hAnsi="Book Antiqua"/>
          <w:bCs/>
        </w:rPr>
        <w:t>”</w:t>
      </w:r>
      <w:r w:rsidR="00C2753D">
        <w:rPr>
          <w:rFonts w:ascii="Book Antiqua" w:hAnsi="Book Antiqua"/>
          <w:bCs/>
        </w:rPr>
        <w:t xml:space="preserve"> (art. 10, co. 2, lett. g)</w:t>
      </w:r>
      <w:r>
        <w:rPr>
          <w:rFonts w:ascii="Book Antiqua" w:hAnsi="Book Antiqua"/>
          <w:bCs/>
        </w:rPr>
        <w:t xml:space="preserve">, come già peraltro stabilito per il solo 2013 dal comma 35 , </w:t>
      </w:r>
      <w:r w:rsidR="00C2753D">
        <w:rPr>
          <w:rFonts w:ascii="Book Antiqua" w:hAnsi="Book Antiqua"/>
          <w:bCs/>
        </w:rPr>
        <w:t xml:space="preserve">primo </w:t>
      </w:r>
      <w:r>
        <w:rPr>
          <w:rFonts w:ascii="Book Antiqua" w:hAnsi="Book Antiqua"/>
          <w:bCs/>
        </w:rPr>
        <w:t>periodo, dell’articolo 14 del dl 201/2011, senza deroga</w:t>
      </w:r>
      <w:r w:rsidR="00F53F01">
        <w:rPr>
          <w:rFonts w:ascii="Book Antiqua" w:hAnsi="Book Antiqua"/>
          <w:bCs/>
        </w:rPr>
        <w:t xml:space="preserve">re espressamente </w:t>
      </w:r>
      <w:r>
        <w:rPr>
          <w:rFonts w:ascii="Book Antiqua" w:hAnsi="Book Antiqua"/>
          <w:bCs/>
        </w:rPr>
        <w:t>alla diretta destinazione al Comune delle somme incassate a titolo di Tares</w:t>
      </w:r>
      <w:r w:rsidR="004E6982">
        <w:rPr>
          <w:rFonts w:ascii="Book Antiqua" w:hAnsi="Book Antiqua"/>
          <w:bCs/>
        </w:rPr>
        <w:t xml:space="preserve">, come </w:t>
      </w:r>
      <w:r>
        <w:rPr>
          <w:rFonts w:ascii="Book Antiqua" w:hAnsi="Book Antiqua"/>
          <w:bCs/>
        </w:rPr>
        <w:t>prescritt</w:t>
      </w:r>
      <w:r w:rsidR="004E6982">
        <w:rPr>
          <w:rFonts w:ascii="Book Antiqua" w:hAnsi="Book Antiqua"/>
          <w:bCs/>
        </w:rPr>
        <w:t>o</w:t>
      </w:r>
      <w:r>
        <w:rPr>
          <w:rFonts w:ascii="Book Antiqua" w:hAnsi="Book Antiqua"/>
          <w:bCs/>
        </w:rPr>
        <w:t xml:space="preserve"> ordinariamente </w:t>
      </w:r>
      <w:r w:rsidR="00C2753D">
        <w:rPr>
          <w:rFonts w:ascii="Book Antiqua" w:hAnsi="Book Antiqua"/>
          <w:bCs/>
        </w:rPr>
        <w:t>d</w:t>
      </w:r>
      <w:r w:rsidR="00E07B22">
        <w:rPr>
          <w:rFonts w:ascii="Book Antiqua" w:hAnsi="Book Antiqua"/>
          <w:bCs/>
        </w:rPr>
        <w:t>a</w:t>
      </w:r>
      <w:r w:rsidR="00C2753D">
        <w:rPr>
          <w:rFonts w:ascii="Book Antiqua" w:hAnsi="Book Antiqua"/>
          <w:bCs/>
        </w:rPr>
        <w:t xml:space="preserve">llo stesso </w:t>
      </w:r>
      <w:r>
        <w:rPr>
          <w:rFonts w:ascii="Book Antiqua" w:hAnsi="Book Antiqua"/>
          <w:bCs/>
        </w:rPr>
        <w:t xml:space="preserve">comma </w:t>
      </w:r>
      <w:r w:rsidR="00C2753D">
        <w:rPr>
          <w:rFonts w:ascii="Book Antiqua" w:hAnsi="Book Antiqua"/>
          <w:bCs/>
        </w:rPr>
        <w:t>35</w:t>
      </w:r>
      <w:r w:rsidR="00E07B22">
        <w:rPr>
          <w:rFonts w:ascii="Book Antiqua" w:hAnsi="Book Antiqua"/>
          <w:bCs/>
        </w:rPr>
        <w:t>, terzo periodo</w:t>
      </w:r>
      <w:r>
        <w:rPr>
          <w:rFonts w:ascii="Book Antiqua" w:hAnsi="Book Antiqua"/>
          <w:bCs/>
        </w:rPr>
        <w:t>. Appare naturale considerare implicita negli intenti semplificatori del dl 35 la possibilità di non modificare per le rate in acconto i dispositivi di incasso che preved</w:t>
      </w:r>
      <w:r w:rsidR="00E07B22">
        <w:rPr>
          <w:rFonts w:ascii="Book Antiqua" w:hAnsi="Book Antiqua"/>
          <w:bCs/>
        </w:rPr>
        <w:t xml:space="preserve">ano </w:t>
      </w:r>
      <w:r>
        <w:rPr>
          <w:rFonts w:ascii="Book Antiqua" w:hAnsi="Book Antiqua"/>
          <w:bCs/>
        </w:rPr>
        <w:t>l’acquisizione del gettito da parte del soggetto gestore del servizio rifiuti. Per quanto riguarda il saldo, o comunque a decorrere dal momento dell’attivazione dell’ordinario circuito di riscossione basato sull’F24, tale interpretazione appare</w:t>
      </w:r>
      <w:r w:rsidR="00C2753D">
        <w:rPr>
          <w:rFonts w:ascii="Book Antiqua" w:hAnsi="Book Antiqua"/>
          <w:bCs/>
        </w:rPr>
        <w:t xml:space="preserve"> invece</w:t>
      </w:r>
      <w:r>
        <w:rPr>
          <w:rFonts w:ascii="Book Antiqua" w:hAnsi="Book Antiqua"/>
          <w:bCs/>
        </w:rPr>
        <w:t xml:space="preserve"> meno fondata.</w:t>
      </w:r>
    </w:p>
    <w:p w:rsidR="00FB4253" w:rsidRPr="00CE6DE4" w:rsidRDefault="001516B4" w:rsidP="003B569F">
      <w:pPr>
        <w:spacing w:after="120"/>
        <w:jc w:val="both"/>
        <w:rPr>
          <w:rFonts w:ascii="Book Antiqua" w:hAnsi="Book Antiqua"/>
        </w:rPr>
      </w:pPr>
      <w:r>
        <w:rPr>
          <w:rFonts w:ascii="Book Antiqua" w:hAnsi="Book Antiqua"/>
          <w:bCs/>
        </w:rPr>
        <w:t>U</w:t>
      </w:r>
      <w:r w:rsidR="00FB4253" w:rsidRPr="00CE6DE4">
        <w:rPr>
          <w:rFonts w:ascii="Book Antiqua" w:hAnsi="Book Antiqua"/>
          <w:bCs/>
        </w:rPr>
        <w:t>na lettura più prudente delle norme straordinarie recate dal dl 35</w:t>
      </w:r>
      <w:r w:rsidR="00C2753D">
        <w:rPr>
          <w:rFonts w:ascii="Book Antiqua" w:hAnsi="Book Antiqua"/>
          <w:bCs/>
        </w:rPr>
        <w:t xml:space="preserve">, in combinazione con </w:t>
      </w:r>
      <w:r w:rsidR="00FB4253" w:rsidRPr="00CE6DE4">
        <w:rPr>
          <w:rFonts w:ascii="Book Antiqua" w:hAnsi="Book Antiqua"/>
          <w:bCs/>
        </w:rPr>
        <w:t>le prescrizioni di cui all’art. 14 del dl 201 in materia di versamento diretto al Comune del Tares</w:t>
      </w:r>
      <w:r w:rsidR="00C2753D">
        <w:rPr>
          <w:rFonts w:ascii="Book Antiqua" w:hAnsi="Book Antiqua"/>
          <w:bCs/>
        </w:rPr>
        <w:t>,</w:t>
      </w:r>
      <w:r w:rsidR="00FB4253" w:rsidRPr="00CE6DE4">
        <w:rPr>
          <w:rFonts w:ascii="Book Antiqua" w:hAnsi="Book Antiqua"/>
          <w:bCs/>
        </w:rPr>
        <w:t xml:space="preserve"> suggerisce </w:t>
      </w:r>
      <w:r w:rsidR="00FB4253" w:rsidRPr="00CE6DE4">
        <w:rPr>
          <w:rFonts w:ascii="Book Antiqua" w:hAnsi="Book Antiqua"/>
        </w:rPr>
        <w:t>che il gestore incassi direttamente il gettito Tares di cui mantiene la gestione fino all’ultima rata 2013 esclusa e che le rate in acconto siano comunque contabilizzate in entrata dal Comune, in corrispondenza di un pagamento di pari importo al gestore stesso.</w:t>
      </w:r>
      <w:r>
        <w:rPr>
          <w:rFonts w:ascii="Book Antiqua" w:hAnsi="Book Antiqua"/>
        </w:rPr>
        <w:t xml:space="preserve"> A decorrere dall’attivazione del pagamento via F24 il Comune dovrebbe invece essere il diretto destinatario delle somme riscosse</w:t>
      </w:r>
      <w:r w:rsidR="00C2753D">
        <w:rPr>
          <w:rFonts w:ascii="Book Antiqua" w:hAnsi="Book Antiqua"/>
        </w:rPr>
        <w:t>, sulla base della normativa ordinaria, restando comunque auspicabili dispositivi di sollecita e correlata erogazione delle somme dovute al gestore in forza dei contratti di affidamento dei servizi di igiene urbana</w:t>
      </w:r>
      <w:r>
        <w:rPr>
          <w:rFonts w:ascii="Book Antiqua" w:hAnsi="Book Antiqua"/>
        </w:rPr>
        <w:t>.</w:t>
      </w:r>
    </w:p>
    <w:p w:rsidR="008C5AF1" w:rsidRPr="00CE6DE4" w:rsidRDefault="008C5AF1" w:rsidP="00FB4253">
      <w:pPr>
        <w:jc w:val="both"/>
      </w:pPr>
    </w:p>
    <w:sectPr w:rsidR="008C5AF1" w:rsidRPr="00CE6DE4" w:rsidSect="00F53F01">
      <w:footerReference w:type="default" r:id="rId10"/>
      <w:pgSz w:w="11906" w:h="16838"/>
      <w:pgMar w:top="1418" w:right="1416" w:bottom="1418"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3A8" w:rsidRDefault="009803A8" w:rsidP="008779BD">
      <w:pPr>
        <w:spacing w:after="0" w:line="240" w:lineRule="auto"/>
      </w:pPr>
      <w:r>
        <w:separator/>
      </w:r>
    </w:p>
  </w:endnote>
  <w:endnote w:type="continuationSeparator" w:id="0">
    <w:p w:rsidR="009803A8" w:rsidRDefault="009803A8" w:rsidP="0087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489067"/>
      <w:docPartObj>
        <w:docPartGallery w:val="Page Numbers (Bottom of Page)"/>
        <w:docPartUnique/>
      </w:docPartObj>
    </w:sdtPr>
    <w:sdtEndPr/>
    <w:sdtContent>
      <w:p w:rsidR="001516B4" w:rsidRDefault="00942A0B">
        <w:pPr>
          <w:pStyle w:val="Pidipagina"/>
          <w:jc w:val="right"/>
        </w:pPr>
        <w:r>
          <w:fldChar w:fldCharType="begin"/>
        </w:r>
        <w:r>
          <w:instrText>PAGE   \* MERGEFORMAT</w:instrText>
        </w:r>
        <w:r>
          <w:fldChar w:fldCharType="separate"/>
        </w:r>
        <w:r w:rsidR="00D33CFC">
          <w:rPr>
            <w:noProof/>
          </w:rPr>
          <w:t>2</w:t>
        </w:r>
        <w:r>
          <w:rPr>
            <w:noProof/>
          </w:rPr>
          <w:fldChar w:fldCharType="end"/>
        </w:r>
      </w:p>
    </w:sdtContent>
  </w:sdt>
  <w:p w:rsidR="001516B4" w:rsidRDefault="001516B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3A8" w:rsidRDefault="009803A8" w:rsidP="008779BD">
      <w:pPr>
        <w:spacing w:after="0" w:line="240" w:lineRule="auto"/>
      </w:pPr>
      <w:r>
        <w:separator/>
      </w:r>
    </w:p>
  </w:footnote>
  <w:footnote w:type="continuationSeparator" w:id="0">
    <w:p w:rsidR="009803A8" w:rsidRDefault="009803A8" w:rsidP="008779BD">
      <w:pPr>
        <w:spacing w:after="0" w:line="240" w:lineRule="auto"/>
      </w:pPr>
      <w:r>
        <w:continuationSeparator/>
      </w:r>
    </w:p>
  </w:footnote>
  <w:footnote w:id="1">
    <w:p w:rsidR="001516B4" w:rsidRPr="003B569F" w:rsidRDefault="001516B4" w:rsidP="003A6B4D">
      <w:pPr>
        <w:pStyle w:val="Testonotaapidipagina"/>
        <w:jc w:val="both"/>
        <w:rPr>
          <w:rFonts w:ascii="Book Antiqua" w:hAnsi="Book Antiqua"/>
          <w:sz w:val="18"/>
        </w:rPr>
      </w:pPr>
      <w:r w:rsidRPr="003B569F">
        <w:rPr>
          <w:rStyle w:val="Rimandonotaapidipagina"/>
          <w:rFonts w:ascii="Book Antiqua" w:hAnsi="Book Antiqua"/>
        </w:rPr>
        <w:footnoteRef/>
      </w:r>
      <w:r w:rsidRPr="003B569F">
        <w:rPr>
          <w:rFonts w:ascii="Book Antiqua" w:hAnsi="Book Antiqua"/>
        </w:rPr>
        <w:t xml:space="preserve"> </w:t>
      </w:r>
      <w:r w:rsidRPr="003B569F">
        <w:rPr>
          <w:rFonts w:ascii="Book Antiqua" w:hAnsi="Book Antiqua"/>
          <w:sz w:val="18"/>
        </w:rPr>
        <w:t>La definizione rimanda all'articolo 9, comma 3-bis, del decreto-legge 30 dicembre 1993, n. 557, convertito, con modificazioni, dalla legge 26 febbraio 1994, n. 133</w:t>
      </w:r>
      <w:r>
        <w:rPr>
          <w:rFonts w:ascii="Book Antiqua" w:hAnsi="Book Antiqua"/>
          <w:sz w:val="18"/>
        </w:rPr>
        <w:t xml:space="preserve">, che </w:t>
      </w:r>
      <w:r w:rsidRPr="003B569F">
        <w:rPr>
          <w:rFonts w:ascii="Book Antiqua" w:hAnsi="Book Antiqua"/>
          <w:sz w:val="18"/>
        </w:rPr>
        <w:t>non individua tra i requisiti l’appartenenza del fabbricato ad una particolare categoria catastale.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47C6"/>
    <w:multiLevelType w:val="hybridMultilevel"/>
    <w:tmpl w:val="F49470BA"/>
    <w:lvl w:ilvl="0" w:tplc="5FB2A11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9B14B46"/>
    <w:multiLevelType w:val="hybridMultilevel"/>
    <w:tmpl w:val="FE0CB5B6"/>
    <w:lvl w:ilvl="0" w:tplc="A8F8B49A">
      <w:start w:val="1"/>
      <w:numFmt w:val="bullet"/>
      <w:lvlText w:val="–"/>
      <w:lvlJc w:val="left"/>
      <w:pPr>
        <w:tabs>
          <w:tab w:val="num" w:pos="720"/>
        </w:tabs>
        <w:ind w:left="720" w:hanging="360"/>
      </w:pPr>
      <w:rPr>
        <w:rFonts w:ascii="Arial" w:hAnsi="Arial" w:hint="default"/>
      </w:rPr>
    </w:lvl>
    <w:lvl w:ilvl="1" w:tplc="F83232BA">
      <w:start w:val="1"/>
      <w:numFmt w:val="bullet"/>
      <w:lvlText w:val="–"/>
      <w:lvlJc w:val="left"/>
      <w:pPr>
        <w:tabs>
          <w:tab w:val="num" w:pos="1440"/>
        </w:tabs>
        <w:ind w:left="1440" w:hanging="360"/>
      </w:pPr>
      <w:rPr>
        <w:rFonts w:ascii="Arial" w:hAnsi="Arial" w:hint="default"/>
      </w:rPr>
    </w:lvl>
    <w:lvl w:ilvl="2" w:tplc="707EEB3C" w:tentative="1">
      <w:start w:val="1"/>
      <w:numFmt w:val="bullet"/>
      <w:lvlText w:val="–"/>
      <w:lvlJc w:val="left"/>
      <w:pPr>
        <w:tabs>
          <w:tab w:val="num" w:pos="2160"/>
        </w:tabs>
        <w:ind w:left="2160" w:hanging="360"/>
      </w:pPr>
      <w:rPr>
        <w:rFonts w:ascii="Arial" w:hAnsi="Arial" w:hint="default"/>
      </w:rPr>
    </w:lvl>
    <w:lvl w:ilvl="3" w:tplc="0B8C3CEC" w:tentative="1">
      <w:start w:val="1"/>
      <w:numFmt w:val="bullet"/>
      <w:lvlText w:val="–"/>
      <w:lvlJc w:val="left"/>
      <w:pPr>
        <w:tabs>
          <w:tab w:val="num" w:pos="2880"/>
        </w:tabs>
        <w:ind w:left="2880" w:hanging="360"/>
      </w:pPr>
      <w:rPr>
        <w:rFonts w:ascii="Arial" w:hAnsi="Arial" w:hint="default"/>
      </w:rPr>
    </w:lvl>
    <w:lvl w:ilvl="4" w:tplc="AE8826FA" w:tentative="1">
      <w:start w:val="1"/>
      <w:numFmt w:val="bullet"/>
      <w:lvlText w:val="–"/>
      <w:lvlJc w:val="left"/>
      <w:pPr>
        <w:tabs>
          <w:tab w:val="num" w:pos="3600"/>
        </w:tabs>
        <w:ind w:left="3600" w:hanging="360"/>
      </w:pPr>
      <w:rPr>
        <w:rFonts w:ascii="Arial" w:hAnsi="Arial" w:hint="default"/>
      </w:rPr>
    </w:lvl>
    <w:lvl w:ilvl="5" w:tplc="C980C93E" w:tentative="1">
      <w:start w:val="1"/>
      <w:numFmt w:val="bullet"/>
      <w:lvlText w:val="–"/>
      <w:lvlJc w:val="left"/>
      <w:pPr>
        <w:tabs>
          <w:tab w:val="num" w:pos="4320"/>
        </w:tabs>
        <w:ind w:left="4320" w:hanging="360"/>
      </w:pPr>
      <w:rPr>
        <w:rFonts w:ascii="Arial" w:hAnsi="Arial" w:hint="default"/>
      </w:rPr>
    </w:lvl>
    <w:lvl w:ilvl="6" w:tplc="FAA4161A" w:tentative="1">
      <w:start w:val="1"/>
      <w:numFmt w:val="bullet"/>
      <w:lvlText w:val="–"/>
      <w:lvlJc w:val="left"/>
      <w:pPr>
        <w:tabs>
          <w:tab w:val="num" w:pos="5040"/>
        </w:tabs>
        <w:ind w:left="5040" w:hanging="360"/>
      </w:pPr>
      <w:rPr>
        <w:rFonts w:ascii="Arial" w:hAnsi="Arial" w:hint="default"/>
      </w:rPr>
    </w:lvl>
    <w:lvl w:ilvl="7" w:tplc="55145D82" w:tentative="1">
      <w:start w:val="1"/>
      <w:numFmt w:val="bullet"/>
      <w:lvlText w:val="–"/>
      <w:lvlJc w:val="left"/>
      <w:pPr>
        <w:tabs>
          <w:tab w:val="num" w:pos="5760"/>
        </w:tabs>
        <w:ind w:left="5760" w:hanging="360"/>
      </w:pPr>
      <w:rPr>
        <w:rFonts w:ascii="Arial" w:hAnsi="Arial" w:hint="default"/>
      </w:rPr>
    </w:lvl>
    <w:lvl w:ilvl="8" w:tplc="9B2C705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163"/>
    <w:rsid w:val="00032E00"/>
    <w:rsid w:val="000761D1"/>
    <w:rsid w:val="00081C42"/>
    <w:rsid w:val="000A008A"/>
    <w:rsid w:val="001123A5"/>
    <w:rsid w:val="0011685B"/>
    <w:rsid w:val="001516B4"/>
    <w:rsid w:val="001A1DF8"/>
    <w:rsid w:val="001A28F9"/>
    <w:rsid w:val="001C29D7"/>
    <w:rsid w:val="001D3CAA"/>
    <w:rsid w:val="001F49B1"/>
    <w:rsid w:val="001F5101"/>
    <w:rsid w:val="00211F92"/>
    <w:rsid w:val="002171FB"/>
    <w:rsid w:val="00252611"/>
    <w:rsid w:val="00254577"/>
    <w:rsid w:val="00286345"/>
    <w:rsid w:val="002A641C"/>
    <w:rsid w:val="002C691A"/>
    <w:rsid w:val="002E4C31"/>
    <w:rsid w:val="00385B9F"/>
    <w:rsid w:val="003A6B4D"/>
    <w:rsid w:val="003B2A53"/>
    <w:rsid w:val="003B569F"/>
    <w:rsid w:val="00413A10"/>
    <w:rsid w:val="004359AC"/>
    <w:rsid w:val="00456641"/>
    <w:rsid w:val="00481A9A"/>
    <w:rsid w:val="00484754"/>
    <w:rsid w:val="004D5A42"/>
    <w:rsid w:val="004E6982"/>
    <w:rsid w:val="0051596E"/>
    <w:rsid w:val="00553545"/>
    <w:rsid w:val="005550B1"/>
    <w:rsid w:val="005A3547"/>
    <w:rsid w:val="005C77EF"/>
    <w:rsid w:val="005E6B63"/>
    <w:rsid w:val="005F320D"/>
    <w:rsid w:val="00617F5B"/>
    <w:rsid w:val="0062344D"/>
    <w:rsid w:val="006324DF"/>
    <w:rsid w:val="00640E21"/>
    <w:rsid w:val="00645B49"/>
    <w:rsid w:val="0068194A"/>
    <w:rsid w:val="00687C9E"/>
    <w:rsid w:val="006A1293"/>
    <w:rsid w:val="006B7126"/>
    <w:rsid w:val="00701A5C"/>
    <w:rsid w:val="0073076D"/>
    <w:rsid w:val="00730E42"/>
    <w:rsid w:val="00730F33"/>
    <w:rsid w:val="007A4ADC"/>
    <w:rsid w:val="007E4163"/>
    <w:rsid w:val="00815B67"/>
    <w:rsid w:val="00844625"/>
    <w:rsid w:val="00863E87"/>
    <w:rsid w:val="008779BD"/>
    <w:rsid w:val="008879E3"/>
    <w:rsid w:val="008C07ED"/>
    <w:rsid w:val="008C5AF1"/>
    <w:rsid w:val="00920373"/>
    <w:rsid w:val="00942A0B"/>
    <w:rsid w:val="00954EB7"/>
    <w:rsid w:val="00962EA8"/>
    <w:rsid w:val="00977C60"/>
    <w:rsid w:val="009803A8"/>
    <w:rsid w:val="009A3594"/>
    <w:rsid w:val="009A56AE"/>
    <w:rsid w:val="00A31F3A"/>
    <w:rsid w:val="00A54D37"/>
    <w:rsid w:val="00AB230D"/>
    <w:rsid w:val="00AB5ACD"/>
    <w:rsid w:val="00AC4670"/>
    <w:rsid w:val="00AD0E84"/>
    <w:rsid w:val="00AE1D33"/>
    <w:rsid w:val="00AE3F9D"/>
    <w:rsid w:val="00AE54FD"/>
    <w:rsid w:val="00B52AD7"/>
    <w:rsid w:val="00B775F4"/>
    <w:rsid w:val="00BA1301"/>
    <w:rsid w:val="00BD7AF0"/>
    <w:rsid w:val="00BF2BBF"/>
    <w:rsid w:val="00C2753D"/>
    <w:rsid w:val="00C4490E"/>
    <w:rsid w:val="00C50B0C"/>
    <w:rsid w:val="00C914AF"/>
    <w:rsid w:val="00CE6DE4"/>
    <w:rsid w:val="00D33CFC"/>
    <w:rsid w:val="00D357AD"/>
    <w:rsid w:val="00D93220"/>
    <w:rsid w:val="00DB01D7"/>
    <w:rsid w:val="00DC7A18"/>
    <w:rsid w:val="00E02BBA"/>
    <w:rsid w:val="00E07B22"/>
    <w:rsid w:val="00E3224F"/>
    <w:rsid w:val="00E35F09"/>
    <w:rsid w:val="00E439C5"/>
    <w:rsid w:val="00E452FE"/>
    <w:rsid w:val="00E61CD1"/>
    <w:rsid w:val="00E721E9"/>
    <w:rsid w:val="00E87DF8"/>
    <w:rsid w:val="00EA548F"/>
    <w:rsid w:val="00EF018C"/>
    <w:rsid w:val="00F375B6"/>
    <w:rsid w:val="00F456DF"/>
    <w:rsid w:val="00F53F01"/>
    <w:rsid w:val="00F61FEB"/>
    <w:rsid w:val="00F767C1"/>
    <w:rsid w:val="00FB4253"/>
    <w:rsid w:val="00FB6470"/>
    <w:rsid w:val="00FD2122"/>
    <w:rsid w:val="00FD33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6B71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6B71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6B71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456DF"/>
    <w:pPr>
      <w:ind w:left="720"/>
      <w:contextualSpacing/>
    </w:pPr>
  </w:style>
  <w:style w:type="paragraph" w:styleId="Testofumetto">
    <w:name w:val="Balloon Text"/>
    <w:basedOn w:val="Normale"/>
    <w:link w:val="TestofumettoCarattere"/>
    <w:uiPriority w:val="99"/>
    <w:semiHidden/>
    <w:unhideWhenUsed/>
    <w:rsid w:val="0051596E"/>
    <w:pPr>
      <w:spacing w:after="0" w:line="240" w:lineRule="auto"/>
    </w:pPr>
    <w:rPr>
      <w:rFonts w:ascii="Tahoma" w:hAnsi="Tahoma"/>
      <w:sz w:val="16"/>
      <w:szCs w:val="16"/>
    </w:rPr>
  </w:style>
  <w:style w:type="character" w:customStyle="1" w:styleId="TestofumettoCarattere">
    <w:name w:val="Testo fumetto Carattere"/>
    <w:basedOn w:val="Carpredefinitoparagrafo"/>
    <w:link w:val="Testofumetto"/>
    <w:uiPriority w:val="99"/>
    <w:semiHidden/>
    <w:rsid w:val="0051596E"/>
    <w:rPr>
      <w:rFonts w:ascii="Tahoma" w:hAnsi="Tahoma"/>
      <w:sz w:val="16"/>
      <w:szCs w:val="16"/>
    </w:rPr>
  </w:style>
  <w:style w:type="character" w:customStyle="1" w:styleId="Titolo1Carattere">
    <w:name w:val="Titolo 1 Carattere"/>
    <w:basedOn w:val="Carpredefinitoparagrafo"/>
    <w:link w:val="Titolo1"/>
    <w:uiPriority w:val="9"/>
    <w:rsid w:val="006B7126"/>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6B7126"/>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6B7126"/>
    <w:rPr>
      <w:rFonts w:asciiTheme="majorHAnsi" w:eastAsiaTheme="majorEastAsia" w:hAnsiTheme="majorHAnsi" w:cstheme="majorBidi"/>
      <w:b/>
      <w:bCs/>
      <w:color w:val="4F81BD" w:themeColor="accent1"/>
    </w:rPr>
  </w:style>
  <w:style w:type="paragraph" w:styleId="Intestazione">
    <w:name w:val="header"/>
    <w:basedOn w:val="Normale"/>
    <w:link w:val="IntestazioneCarattere"/>
    <w:uiPriority w:val="99"/>
    <w:unhideWhenUsed/>
    <w:rsid w:val="008779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79BD"/>
  </w:style>
  <w:style w:type="paragraph" w:styleId="Pidipagina">
    <w:name w:val="footer"/>
    <w:basedOn w:val="Normale"/>
    <w:link w:val="PidipaginaCarattere"/>
    <w:uiPriority w:val="99"/>
    <w:unhideWhenUsed/>
    <w:rsid w:val="008779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79BD"/>
  </w:style>
  <w:style w:type="paragraph" w:styleId="Testonotaapidipagina">
    <w:name w:val="footnote text"/>
    <w:basedOn w:val="Normale"/>
    <w:link w:val="TestonotaapidipaginaCarattere"/>
    <w:semiHidden/>
    <w:unhideWhenUsed/>
    <w:rsid w:val="00FD33F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semiHidden/>
    <w:rsid w:val="00FD33FE"/>
    <w:rPr>
      <w:sz w:val="20"/>
      <w:szCs w:val="20"/>
    </w:rPr>
  </w:style>
  <w:style w:type="character" w:styleId="Rimandonotaapidipagina">
    <w:name w:val="footnote reference"/>
    <w:basedOn w:val="Carpredefinitoparagrafo"/>
    <w:semiHidden/>
    <w:unhideWhenUsed/>
    <w:rsid w:val="00FD33FE"/>
    <w:rPr>
      <w:vertAlign w:val="superscript"/>
    </w:rPr>
  </w:style>
  <w:style w:type="character" w:customStyle="1" w:styleId="apple-converted-space">
    <w:name w:val="apple-converted-space"/>
    <w:basedOn w:val="Carpredefinitoparagrafo"/>
    <w:rsid w:val="001A28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6B71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6B71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6B71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456DF"/>
    <w:pPr>
      <w:ind w:left="720"/>
      <w:contextualSpacing/>
    </w:pPr>
  </w:style>
  <w:style w:type="paragraph" w:styleId="Testofumetto">
    <w:name w:val="Balloon Text"/>
    <w:basedOn w:val="Normale"/>
    <w:link w:val="TestofumettoCarattere"/>
    <w:uiPriority w:val="99"/>
    <w:semiHidden/>
    <w:unhideWhenUsed/>
    <w:rsid w:val="0051596E"/>
    <w:pPr>
      <w:spacing w:after="0" w:line="240" w:lineRule="auto"/>
    </w:pPr>
    <w:rPr>
      <w:rFonts w:ascii="Tahoma" w:hAnsi="Tahoma"/>
      <w:sz w:val="16"/>
      <w:szCs w:val="16"/>
    </w:rPr>
  </w:style>
  <w:style w:type="character" w:customStyle="1" w:styleId="TestofumettoCarattere">
    <w:name w:val="Testo fumetto Carattere"/>
    <w:basedOn w:val="Carpredefinitoparagrafo"/>
    <w:link w:val="Testofumetto"/>
    <w:uiPriority w:val="99"/>
    <w:semiHidden/>
    <w:rsid w:val="0051596E"/>
    <w:rPr>
      <w:rFonts w:ascii="Tahoma" w:hAnsi="Tahoma"/>
      <w:sz w:val="16"/>
      <w:szCs w:val="16"/>
    </w:rPr>
  </w:style>
  <w:style w:type="character" w:customStyle="1" w:styleId="Titolo1Carattere">
    <w:name w:val="Titolo 1 Carattere"/>
    <w:basedOn w:val="Carpredefinitoparagrafo"/>
    <w:link w:val="Titolo1"/>
    <w:uiPriority w:val="9"/>
    <w:rsid w:val="006B7126"/>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6B7126"/>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6B7126"/>
    <w:rPr>
      <w:rFonts w:asciiTheme="majorHAnsi" w:eastAsiaTheme="majorEastAsia" w:hAnsiTheme="majorHAnsi" w:cstheme="majorBidi"/>
      <w:b/>
      <w:bCs/>
      <w:color w:val="4F81BD" w:themeColor="accent1"/>
    </w:rPr>
  </w:style>
  <w:style w:type="paragraph" w:styleId="Intestazione">
    <w:name w:val="header"/>
    <w:basedOn w:val="Normale"/>
    <w:link w:val="IntestazioneCarattere"/>
    <w:uiPriority w:val="99"/>
    <w:unhideWhenUsed/>
    <w:rsid w:val="008779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79BD"/>
  </w:style>
  <w:style w:type="paragraph" w:styleId="Pidipagina">
    <w:name w:val="footer"/>
    <w:basedOn w:val="Normale"/>
    <w:link w:val="PidipaginaCarattere"/>
    <w:uiPriority w:val="99"/>
    <w:unhideWhenUsed/>
    <w:rsid w:val="008779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79BD"/>
  </w:style>
  <w:style w:type="paragraph" w:styleId="Testonotaapidipagina">
    <w:name w:val="footnote text"/>
    <w:basedOn w:val="Normale"/>
    <w:link w:val="TestonotaapidipaginaCarattere"/>
    <w:semiHidden/>
    <w:unhideWhenUsed/>
    <w:rsid w:val="00FD33F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semiHidden/>
    <w:rsid w:val="00FD33FE"/>
    <w:rPr>
      <w:sz w:val="20"/>
      <w:szCs w:val="20"/>
    </w:rPr>
  </w:style>
  <w:style w:type="character" w:styleId="Rimandonotaapidipagina">
    <w:name w:val="footnote reference"/>
    <w:basedOn w:val="Carpredefinitoparagrafo"/>
    <w:semiHidden/>
    <w:unhideWhenUsed/>
    <w:rsid w:val="00FD33FE"/>
    <w:rPr>
      <w:vertAlign w:val="superscript"/>
    </w:rPr>
  </w:style>
  <w:style w:type="character" w:customStyle="1" w:styleId="apple-converted-space">
    <w:name w:val="apple-converted-space"/>
    <w:basedOn w:val="Carpredefinitoparagrafo"/>
    <w:rsid w:val="001A2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631688">
      <w:bodyDiv w:val="1"/>
      <w:marLeft w:val="0"/>
      <w:marRight w:val="0"/>
      <w:marTop w:val="0"/>
      <w:marBottom w:val="0"/>
      <w:divBdr>
        <w:top w:val="none" w:sz="0" w:space="0" w:color="auto"/>
        <w:left w:val="none" w:sz="0" w:space="0" w:color="auto"/>
        <w:bottom w:val="none" w:sz="0" w:space="0" w:color="auto"/>
        <w:right w:val="none" w:sz="0" w:space="0" w:color="auto"/>
      </w:divBdr>
      <w:divsChild>
        <w:div w:id="550965877">
          <w:marLeft w:val="1022"/>
          <w:marRight w:val="0"/>
          <w:marTop w:val="77"/>
          <w:marBottom w:val="0"/>
          <w:divBdr>
            <w:top w:val="none" w:sz="0" w:space="0" w:color="auto"/>
            <w:left w:val="none" w:sz="0" w:space="0" w:color="auto"/>
            <w:bottom w:val="none" w:sz="0" w:space="0" w:color="auto"/>
            <w:right w:val="none" w:sz="0" w:space="0" w:color="auto"/>
          </w:divBdr>
        </w:div>
      </w:divsChild>
    </w:div>
    <w:div w:id="128276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585C7-DBE9-4B0F-AEBC-FDB39DCC2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3227</Words>
  <Characters>18397</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Proia</dc:creator>
  <cp:lastModifiedBy>Ester Eroli</cp:lastModifiedBy>
  <cp:revision>2</cp:revision>
  <dcterms:created xsi:type="dcterms:W3CDTF">2013-05-17T10:49:00Z</dcterms:created>
  <dcterms:modified xsi:type="dcterms:W3CDTF">2013-05-17T10:49:00Z</dcterms:modified>
</cp:coreProperties>
</file>